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BA40" w14:textId="77777777" w:rsidR="00AA6F4D" w:rsidRPr="000915D5" w:rsidRDefault="00714CF7" w:rsidP="00944E61">
      <w:pPr>
        <w:pStyle w:val="LGAItemNoHeading"/>
        <w:spacing w:before="360"/>
        <w:rPr>
          <w:rFonts w:ascii="Arial" w:hAnsi="Arial" w:cs="Arial"/>
          <w:sz w:val="28"/>
          <w:szCs w:val="28"/>
        </w:rPr>
      </w:pPr>
      <w:r w:rsidRPr="000915D5">
        <w:rPr>
          <w:rFonts w:ascii="Arial" w:hAnsi="Arial" w:cs="Arial"/>
          <w:sz w:val="28"/>
          <w:szCs w:val="28"/>
        </w:rPr>
        <w:t>LGA Membership Subscriptions</w:t>
      </w:r>
      <w:r w:rsidR="00D242BE" w:rsidRPr="000915D5">
        <w:rPr>
          <w:rFonts w:ascii="Arial" w:hAnsi="Arial" w:cs="Arial"/>
          <w:sz w:val="28"/>
          <w:szCs w:val="28"/>
        </w:rPr>
        <w:t xml:space="preserve"> 2018-19</w:t>
      </w:r>
    </w:p>
    <w:p w14:paraId="5977BA41" w14:textId="77777777" w:rsidR="00BB212B" w:rsidRDefault="00BB212B" w:rsidP="000C3360">
      <w:pPr>
        <w:pStyle w:val="MainText"/>
        <w:rPr>
          <w:rFonts w:ascii="Arial" w:hAnsi="Arial" w:cs="Arial"/>
          <w:b/>
          <w:sz w:val="24"/>
          <w:szCs w:val="24"/>
        </w:rPr>
      </w:pPr>
    </w:p>
    <w:p w14:paraId="5977BA42" w14:textId="77777777" w:rsidR="001172B6" w:rsidRPr="008E60AB" w:rsidRDefault="0022688F" w:rsidP="000C3360">
      <w:pPr>
        <w:pStyle w:val="MainText"/>
        <w:rPr>
          <w:rFonts w:ascii="Arial" w:hAnsi="Arial" w:cs="Arial"/>
          <w:b/>
          <w:szCs w:val="22"/>
        </w:rPr>
      </w:pPr>
      <w:r w:rsidRPr="008E60AB">
        <w:rPr>
          <w:rFonts w:ascii="Arial" w:hAnsi="Arial" w:cs="Arial"/>
          <w:b/>
          <w:szCs w:val="22"/>
        </w:rPr>
        <w:t>Purpose of Report</w:t>
      </w:r>
    </w:p>
    <w:p w14:paraId="5977BA43" w14:textId="77777777" w:rsidR="0022688F" w:rsidRPr="008E60AB" w:rsidRDefault="0022688F" w:rsidP="000C3360">
      <w:pPr>
        <w:pStyle w:val="MainText"/>
        <w:rPr>
          <w:rFonts w:ascii="Arial" w:hAnsi="Arial" w:cs="Arial"/>
          <w:b/>
          <w:szCs w:val="22"/>
        </w:rPr>
      </w:pPr>
    </w:p>
    <w:p w14:paraId="5977BA44" w14:textId="77777777" w:rsidR="001172B6" w:rsidRPr="008E60AB" w:rsidRDefault="0022688F" w:rsidP="000C3360">
      <w:pPr>
        <w:pStyle w:val="MainText"/>
        <w:rPr>
          <w:rFonts w:ascii="Arial" w:hAnsi="Arial" w:cs="Arial"/>
          <w:szCs w:val="22"/>
        </w:rPr>
      </w:pPr>
      <w:r w:rsidRPr="008E60AB">
        <w:rPr>
          <w:rFonts w:ascii="Arial" w:hAnsi="Arial" w:cs="Arial"/>
          <w:szCs w:val="22"/>
        </w:rPr>
        <w:t>For decision</w:t>
      </w:r>
      <w:r w:rsidR="009C44E5">
        <w:rPr>
          <w:rFonts w:ascii="Arial" w:hAnsi="Arial" w:cs="Arial"/>
          <w:szCs w:val="22"/>
        </w:rPr>
        <w:t>.</w:t>
      </w:r>
    </w:p>
    <w:p w14:paraId="5977BA45" w14:textId="77777777" w:rsidR="00A601EC" w:rsidRPr="008E60AB" w:rsidRDefault="00A601EC" w:rsidP="000C3360">
      <w:pPr>
        <w:pStyle w:val="MainText"/>
        <w:rPr>
          <w:rFonts w:ascii="Arial" w:hAnsi="Arial" w:cs="Arial"/>
          <w:b/>
          <w:szCs w:val="22"/>
        </w:rPr>
      </w:pPr>
    </w:p>
    <w:p w14:paraId="5977BA46" w14:textId="77777777" w:rsidR="000C3360" w:rsidRPr="008E60AB" w:rsidRDefault="000C3360" w:rsidP="000C3360">
      <w:pPr>
        <w:pStyle w:val="MainText"/>
        <w:rPr>
          <w:rFonts w:ascii="Arial" w:hAnsi="Arial" w:cs="Arial"/>
          <w:szCs w:val="22"/>
        </w:rPr>
      </w:pPr>
      <w:r w:rsidRPr="008E60AB">
        <w:rPr>
          <w:rFonts w:ascii="Arial" w:hAnsi="Arial" w:cs="Arial"/>
          <w:b/>
          <w:szCs w:val="22"/>
        </w:rPr>
        <w:t>Summary</w:t>
      </w:r>
    </w:p>
    <w:p w14:paraId="5977BA47" w14:textId="77777777" w:rsidR="000C3360" w:rsidRPr="008E60AB" w:rsidRDefault="000C3360" w:rsidP="00A601EC">
      <w:pPr>
        <w:pStyle w:val="MainText"/>
        <w:rPr>
          <w:rFonts w:ascii="Arial" w:hAnsi="Arial" w:cs="Arial"/>
          <w:szCs w:val="22"/>
        </w:rPr>
      </w:pPr>
    </w:p>
    <w:p w14:paraId="5977BA48" w14:textId="77777777" w:rsidR="008313C6" w:rsidRDefault="008313C6" w:rsidP="008313C6">
      <w:pPr>
        <w:rPr>
          <w:rFonts w:ascii="Arial" w:hAnsi="Arial" w:cs="Arial"/>
          <w:szCs w:val="22"/>
        </w:rPr>
      </w:pPr>
      <w:r w:rsidRPr="008E60AB">
        <w:rPr>
          <w:rFonts w:ascii="Arial" w:hAnsi="Arial" w:cs="Arial"/>
          <w:szCs w:val="22"/>
        </w:rPr>
        <w:t xml:space="preserve">This paper </w:t>
      </w:r>
      <w:r w:rsidR="00843231">
        <w:rPr>
          <w:rFonts w:ascii="Arial" w:hAnsi="Arial" w:cs="Arial"/>
          <w:szCs w:val="22"/>
        </w:rPr>
        <w:t>sets out the current position in relation to LGA subscriptions</w:t>
      </w:r>
      <w:r w:rsidR="003B7307">
        <w:rPr>
          <w:rFonts w:ascii="Arial" w:hAnsi="Arial" w:cs="Arial"/>
          <w:szCs w:val="22"/>
        </w:rPr>
        <w:t>. It proposes three possible approaches t</w:t>
      </w:r>
      <w:r w:rsidR="00AB5801">
        <w:rPr>
          <w:rFonts w:ascii="Arial" w:hAnsi="Arial" w:cs="Arial"/>
          <w:szCs w:val="22"/>
        </w:rPr>
        <w:t>o setting subscriptions for 201</w:t>
      </w:r>
      <w:r w:rsidR="00D242BE">
        <w:rPr>
          <w:rFonts w:ascii="Arial" w:hAnsi="Arial" w:cs="Arial"/>
          <w:szCs w:val="22"/>
        </w:rPr>
        <w:t>8</w:t>
      </w:r>
      <w:r w:rsidR="00AB5801">
        <w:rPr>
          <w:rFonts w:ascii="Arial" w:hAnsi="Arial" w:cs="Arial"/>
          <w:szCs w:val="22"/>
        </w:rPr>
        <w:t>/1</w:t>
      </w:r>
      <w:r w:rsidR="00D242BE">
        <w:rPr>
          <w:rFonts w:ascii="Arial" w:hAnsi="Arial" w:cs="Arial"/>
          <w:szCs w:val="22"/>
        </w:rPr>
        <w:t>9</w:t>
      </w:r>
      <w:r w:rsidR="00843231">
        <w:rPr>
          <w:rFonts w:ascii="Arial" w:hAnsi="Arial" w:cs="Arial"/>
          <w:szCs w:val="22"/>
        </w:rPr>
        <w:t xml:space="preserve"> and seeks the Leadership’s Board </w:t>
      </w:r>
      <w:r w:rsidR="003B7307">
        <w:rPr>
          <w:rFonts w:ascii="Arial" w:hAnsi="Arial" w:cs="Arial"/>
          <w:szCs w:val="22"/>
        </w:rPr>
        <w:t>decision on their preferred approach</w:t>
      </w:r>
      <w:r w:rsidR="00843231">
        <w:rPr>
          <w:rFonts w:ascii="Arial" w:hAnsi="Arial" w:cs="Arial"/>
          <w:szCs w:val="22"/>
        </w:rPr>
        <w:t>.</w:t>
      </w:r>
      <w:r w:rsidR="00714CF7" w:rsidRPr="008E60AB">
        <w:rPr>
          <w:rFonts w:ascii="Arial" w:hAnsi="Arial" w:cs="Arial"/>
          <w:szCs w:val="22"/>
        </w:rPr>
        <w:t xml:space="preserve"> </w:t>
      </w:r>
    </w:p>
    <w:p w14:paraId="5977BA49" w14:textId="77777777" w:rsidR="00CB082E" w:rsidRPr="008E60AB" w:rsidRDefault="00CB082E" w:rsidP="008313C6">
      <w:pPr>
        <w:rPr>
          <w:rFonts w:ascii="Arial" w:hAnsi="Arial" w:cs="Arial"/>
          <w:szCs w:val="22"/>
        </w:rPr>
      </w:pPr>
    </w:p>
    <w:p w14:paraId="5977BA4A" w14:textId="77777777" w:rsidR="00AA6F4D" w:rsidRPr="008E60AB" w:rsidRDefault="00AA6F4D" w:rsidP="000C3360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0C3360" w:rsidRPr="008E60AB" w14:paraId="5977BA54" w14:textId="77777777">
        <w:tc>
          <w:tcPr>
            <w:tcW w:w="9157" w:type="dxa"/>
          </w:tcPr>
          <w:p w14:paraId="5977BA4B" w14:textId="77777777" w:rsidR="000C3360" w:rsidRPr="008E60AB" w:rsidRDefault="000C3360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5977BA4C" w14:textId="45B56F0A" w:rsidR="000C3360" w:rsidRPr="008E60AB" w:rsidRDefault="000C3360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Recommendation</w:t>
            </w:r>
            <w:bookmarkStart w:id="0" w:name="_GoBack"/>
            <w:bookmarkEnd w:id="0"/>
          </w:p>
          <w:p w14:paraId="5977BA4D" w14:textId="77777777" w:rsidR="008313C6" w:rsidRPr="008E60AB" w:rsidRDefault="008313C6" w:rsidP="008313C6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5977BA4E" w14:textId="77777777" w:rsidR="00446AAE" w:rsidRDefault="00446AAE" w:rsidP="00D70565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</w:t>
            </w:r>
            <w:r w:rsidR="00F912A5">
              <w:rPr>
                <w:rFonts w:ascii="Arial" w:hAnsi="Arial" w:cs="Arial"/>
                <w:szCs w:val="22"/>
              </w:rPr>
              <w:t xml:space="preserve"> the LGA</w:t>
            </w:r>
            <w:r>
              <w:rPr>
                <w:rFonts w:ascii="Arial" w:hAnsi="Arial" w:cs="Arial"/>
                <w:szCs w:val="22"/>
              </w:rPr>
              <w:t xml:space="preserve"> Leadership Board</w:t>
            </w:r>
            <w:r w:rsidR="00D70565">
              <w:rPr>
                <w:rFonts w:ascii="Arial" w:hAnsi="Arial" w:cs="Arial"/>
                <w:szCs w:val="22"/>
              </w:rPr>
              <w:t xml:space="preserve"> </w:t>
            </w:r>
            <w:r w:rsidR="00B318F4">
              <w:rPr>
                <w:rFonts w:ascii="Arial" w:hAnsi="Arial" w:cs="Arial"/>
                <w:szCs w:val="22"/>
              </w:rPr>
              <w:t>a</w:t>
            </w:r>
            <w:r w:rsidR="00843231">
              <w:rPr>
                <w:rFonts w:ascii="Arial" w:hAnsi="Arial" w:cs="Arial"/>
                <w:szCs w:val="22"/>
              </w:rPr>
              <w:t>gree</w:t>
            </w:r>
            <w:r>
              <w:rPr>
                <w:rFonts w:ascii="Arial" w:hAnsi="Arial" w:cs="Arial"/>
                <w:szCs w:val="22"/>
              </w:rPr>
              <w:t>s</w:t>
            </w:r>
            <w:r w:rsidR="00843231">
              <w:rPr>
                <w:rFonts w:ascii="Arial" w:hAnsi="Arial" w:cs="Arial"/>
                <w:szCs w:val="22"/>
              </w:rPr>
              <w:t xml:space="preserve"> </w:t>
            </w:r>
            <w:r w:rsidR="00215200">
              <w:rPr>
                <w:rFonts w:ascii="Arial" w:hAnsi="Arial" w:cs="Arial"/>
                <w:szCs w:val="22"/>
              </w:rPr>
              <w:t>the basis of calculating</w:t>
            </w:r>
            <w:r w:rsidR="004555D6">
              <w:rPr>
                <w:rFonts w:ascii="Arial" w:hAnsi="Arial" w:cs="Arial"/>
                <w:szCs w:val="22"/>
              </w:rPr>
              <w:t xml:space="preserve"> subscriptions for 2017/18</w:t>
            </w:r>
            <w:r w:rsidR="0058127C">
              <w:rPr>
                <w:rFonts w:ascii="Arial" w:hAnsi="Arial" w:cs="Arial"/>
                <w:szCs w:val="22"/>
              </w:rPr>
              <w:t xml:space="preserve">, based on the options in </w:t>
            </w:r>
            <w:r w:rsidR="006F2D7F">
              <w:rPr>
                <w:rFonts w:ascii="Arial" w:hAnsi="Arial" w:cs="Arial"/>
                <w:szCs w:val="22"/>
              </w:rPr>
              <w:t>paragraph 12</w:t>
            </w:r>
            <w:r w:rsidR="00D70565">
              <w:rPr>
                <w:rFonts w:ascii="Arial" w:hAnsi="Arial" w:cs="Arial"/>
                <w:szCs w:val="22"/>
              </w:rPr>
              <w:t>.</w:t>
            </w:r>
          </w:p>
          <w:p w14:paraId="5977BA4F" w14:textId="77777777" w:rsidR="00446AAE" w:rsidRDefault="00446AAE" w:rsidP="00843231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5977BA50" w14:textId="77777777" w:rsidR="000C3360" w:rsidRPr="008E60AB" w:rsidRDefault="000C3360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Action</w:t>
            </w:r>
          </w:p>
          <w:p w14:paraId="5977BA51" w14:textId="77777777" w:rsidR="00A601EC" w:rsidRPr="008E60AB" w:rsidRDefault="00A601E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5977BA52" w14:textId="77777777" w:rsidR="00A01FD0" w:rsidRPr="00AC3C7E" w:rsidRDefault="00A01FD0" w:rsidP="00A01FD0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Subject to Leadership Board decision, officers will notify all councils of their 2016/17 subscription and begin work on membership packs.</w:t>
            </w:r>
          </w:p>
          <w:p w14:paraId="5977BA53" w14:textId="77777777" w:rsidR="000A3935" w:rsidRPr="008E60AB" w:rsidRDefault="000A3935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977BA55" w14:textId="77777777" w:rsidR="00AA6F4D" w:rsidRDefault="00AA6F4D">
      <w:pPr>
        <w:pStyle w:val="MainText"/>
        <w:rPr>
          <w:rFonts w:ascii="Arial" w:hAnsi="Arial" w:cs="Arial"/>
          <w:szCs w:val="22"/>
        </w:rPr>
      </w:pPr>
    </w:p>
    <w:p w14:paraId="5977BA56" w14:textId="77777777" w:rsidR="00AB5801" w:rsidRDefault="00AB5801">
      <w:pPr>
        <w:pStyle w:val="MainText"/>
        <w:rPr>
          <w:rFonts w:ascii="Arial" w:hAnsi="Arial" w:cs="Arial"/>
          <w:szCs w:val="22"/>
        </w:rPr>
      </w:pPr>
    </w:p>
    <w:p w14:paraId="5977BA57" w14:textId="77777777" w:rsidR="00AB5801" w:rsidRPr="008E60AB" w:rsidRDefault="00AB5801">
      <w:pPr>
        <w:pStyle w:val="MainText"/>
        <w:rPr>
          <w:rFonts w:ascii="Arial" w:hAnsi="Arial" w:cs="Arial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CC0245" w:rsidRPr="008E60AB" w14:paraId="5977BA5A" w14:textId="77777777" w:rsidTr="00293180">
        <w:tc>
          <w:tcPr>
            <w:tcW w:w="2802" w:type="dxa"/>
          </w:tcPr>
          <w:p w14:paraId="5977BA58" w14:textId="77777777" w:rsidR="00CC0245" w:rsidRPr="008E60AB" w:rsidRDefault="00CC0245" w:rsidP="007913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Contact officer:</w:t>
            </w:r>
            <w:r w:rsidRPr="008E60A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520" w:type="dxa"/>
          </w:tcPr>
          <w:p w14:paraId="5977BA59" w14:textId="77777777" w:rsidR="00CB082E" w:rsidRPr="008E60AB" w:rsidRDefault="00CB082E" w:rsidP="007913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Claire Holloway</w:t>
            </w:r>
          </w:p>
        </w:tc>
      </w:tr>
      <w:tr w:rsidR="00C9258A" w:rsidRPr="008E60AB" w14:paraId="5977BA5D" w14:textId="77777777" w:rsidTr="00293180">
        <w:tc>
          <w:tcPr>
            <w:tcW w:w="2802" w:type="dxa"/>
          </w:tcPr>
          <w:p w14:paraId="5977BA5B" w14:textId="77777777" w:rsidR="00C9258A" w:rsidRPr="008E60AB" w:rsidRDefault="00C9258A" w:rsidP="007913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520" w:type="dxa"/>
          </w:tcPr>
          <w:p w14:paraId="5977BA5C" w14:textId="77777777" w:rsidR="00C9258A" w:rsidRPr="008E60AB" w:rsidRDefault="00DC34CA" w:rsidP="00AB5801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 xml:space="preserve">Head of </w:t>
            </w:r>
            <w:r w:rsidR="00CB082E">
              <w:rPr>
                <w:rFonts w:ascii="Arial" w:hAnsi="Arial" w:cs="Arial"/>
                <w:szCs w:val="22"/>
              </w:rPr>
              <w:t xml:space="preserve">Corporate </w:t>
            </w:r>
            <w:r w:rsidR="00AB5801">
              <w:rPr>
                <w:rFonts w:ascii="Arial" w:hAnsi="Arial" w:cs="Arial"/>
                <w:szCs w:val="22"/>
              </w:rPr>
              <w:t>Services</w:t>
            </w:r>
          </w:p>
        </w:tc>
      </w:tr>
      <w:tr w:rsidR="00CC0245" w:rsidRPr="008E60AB" w14:paraId="5977BA60" w14:textId="77777777" w:rsidTr="00293180">
        <w:tc>
          <w:tcPr>
            <w:tcW w:w="2802" w:type="dxa"/>
          </w:tcPr>
          <w:p w14:paraId="5977BA5E" w14:textId="77777777" w:rsidR="00CC0245" w:rsidRPr="008E60AB" w:rsidRDefault="00CC0245" w:rsidP="007913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520" w:type="dxa"/>
          </w:tcPr>
          <w:p w14:paraId="5977BA5F" w14:textId="77777777" w:rsidR="00CC0245" w:rsidRPr="008E60AB" w:rsidRDefault="00D40A0E" w:rsidP="00CB082E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 xml:space="preserve">020 7664 </w:t>
            </w:r>
            <w:r w:rsidR="00DC34CA" w:rsidRPr="008E60AB">
              <w:rPr>
                <w:rFonts w:ascii="Arial" w:hAnsi="Arial" w:cs="Arial"/>
                <w:szCs w:val="22"/>
              </w:rPr>
              <w:t>3</w:t>
            </w:r>
            <w:r w:rsidR="00CB082E">
              <w:rPr>
                <w:rFonts w:ascii="Arial" w:hAnsi="Arial" w:cs="Arial"/>
                <w:szCs w:val="22"/>
              </w:rPr>
              <w:t>156</w:t>
            </w:r>
          </w:p>
        </w:tc>
      </w:tr>
      <w:tr w:rsidR="00CC0245" w:rsidRPr="008E60AB" w14:paraId="5977BA63" w14:textId="77777777" w:rsidTr="00293180">
        <w:tc>
          <w:tcPr>
            <w:tcW w:w="2802" w:type="dxa"/>
          </w:tcPr>
          <w:p w14:paraId="5977BA61" w14:textId="77777777" w:rsidR="00CC0245" w:rsidRPr="008E60AB" w:rsidRDefault="00CC0245" w:rsidP="007913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520" w:type="dxa"/>
          </w:tcPr>
          <w:p w14:paraId="5977BA62" w14:textId="77777777" w:rsidR="00A6156F" w:rsidRPr="008E60AB" w:rsidRDefault="00AB5801" w:rsidP="0079133C">
            <w:pPr>
              <w:pStyle w:val="MainText"/>
              <w:spacing w:after="120" w:line="240" w:lineRule="auto"/>
              <w:rPr>
                <w:rFonts w:ascii="Arial" w:hAnsi="Arial" w:cs="Arial"/>
                <w:color w:val="4F81BD"/>
                <w:szCs w:val="22"/>
                <w:u w:val="single"/>
              </w:rPr>
            </w:pPr>
            <w:r>
              <w:rPr>
                <w:rFonts w:ascii="Arial" w:hAnsi="Arial" w:cs="Arial"/>
                <w:color w:val="4F81BD"/>
                <w:szCs w:val="22"/>
                <w:u w:val="single"/>
              </w:rPr>
              <w:t>c</w:t>
            </w:r>
            <w:r w:rsidR="00CB082E">
              <w:rPr>
                <w:rFonts w:ascii="Arial" w:hAnsi="Arial" w:cs="Arial"/>
                <w:color w:val="4F81BD"/>
                <w:szCs w:val="22"/>
                <w:u w:val="single"/>
              </w:rPr>
              <w:t>laire.holloway</w:t>
            </w:r>
            <w:hyperlink r:id="rId11" w:history="1">
              <w:r w:rsidR="00382380" w:rsidRPr="008E60AB">
                <w:rPr>
                  <w:rStyle w:val="Hyperlink"/>
                  <w:rFonts w:ascii="Arial" w:hAnsi="Arial" w:cs="Arial"/>
                  <w:color w:val="4F81BD"/>
                  <w:szCs w:val="22"/>
                </w:rPr>
                <w:t>@local.gov.uk</w:t>
              </w:r>
            </w:hyperlink>
            <w:r w:rsidR="00A6156F" w:rsidRPr="008E60AB">
              <w:rPr>
                <w:rFonts w:ascii="Arial" w:hAnsi="Arial" w:cs="Arial"/>
                <w:color w:val="4F81BD"/>
                <w:szCs w:val="22"/>
                <w:u w:val="single"/>
              </w:rPr>
              <w:t xml:space="preserve"> </w:t>
            </w:r>
          </w:p>
        </w:tc>
      </w:tr>
    </w:tbl>
    <w:p w14:paraId="5977BA64" w14:textId="77777777" w:rsidR="00AA6F4D" w:rsidRPr="008E60AB" w:rsidRDefault="00AA6F4D">
      <w:pPr>
        <w:pStyle w:val="LGASubHead1"/>
        <w:rPr>
          <w:rFonts w:ascii="Arial" w:hAnsi="Arial" w:cs="Arial"/>
          <w:sz w:val="22"/>
          <w:szCs w:val="22"/>
        </w:rPr>
        <w:sectPr w:rsidR="00AA6F4D" w:rsidRPr="008E60AB" w:rsidSect="007C2BC2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1134" w:footer="567" w:gutter="0"/>
          <w:cols w:space="720"/>
          <w:titlePg/>
        </w:sectPr>
      </w:pPr>
    </w:p>
    <w:p w14:paraId="5977BA65" w14:textId="77777777" w:rsidR="00E65EA5" w:rsidRPr="00715BC6" w:rsidRDefault="00E65EA5" w:rsidP="00E65EA5">
      <w:pPr>
        <w:pStyle w:val="LGAItemNoHeading"/>
        <w:spacing w:before="360"/>
        <w:rPr>
          <w:rFonts w:ascii="Arial" w:hAnsi="Arial" w:cs="Arial"/>
          <w:sz w:val="28"/>
          <w:szCs w:val="28"/>
        </w:rPr>
      </w:pPr>
      <w:bookmarkStart w:id="3" w:name="MainHeading2"/>
      <w:bookmarkEnd w:id="3"/>
      <w:r w:rsidRPr="00715BC6">
        <w:rPr>
          <w:rFonts w:ascii="Arial" w:hAnsi="Arial" w:cs="Arial"/>
          <w:sz w:val="28"/>
          <w:szCs w:val="28"/>
        </w:rPr>
        <w:lastRenderedPageBreak/>
        <w:t>LGA Membership Subscriptions</w:t>
      </w:r>
      <w:r w:rsidR="00B51559">
        <w:rPr>
          <w:rFonts w:ascii="Arial" w:hAnsi="Arial" w:cs="Arial"/>
          <w:sz w:val="28"/>
          <w:szCs w:val="28"/>
        </w:rPr>
        <w:t xml:space="preserve"> 2018-19</w:t>
      </w:r>
    </w:p>
    <w:p w14:paraId="5977BA66" w14:textId="77777777" w:rsidR="001E4CE7" w:rsidRDefault="001E4CE7" w:rsidP="00982B41">
      <w:pPr>
        <w:pStyle w:val="MainTex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977BA67" w14:textId="77777777" w:rsidR="00AA6F4D" w:rsidRPr="008E60AB" w:rsidRDefault="00AA6F4D" w:rsidP="00982B41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E60AB">
        <w:rPr>
          <w:rFonts w:ascii="Arial" w:hAnsi="Arial" w:cs="Arial"/>
          <w:b/>
          <w:szCs w:val="22"/>
        </w:rPr>
        <w:t>Background</w:t>
      </w:r>
      <w:r w:rsidR="00982B41" w:rsidRPr="008E60AB">
        <w:rPr>
          <w:rFonts w:ascii="Arial" w:hAnsi="Arial" w:cs="Arial"/>
          <w:b/>
          <w:szCs w:val="22"/>
        </w:rPr>
        <w:t xml:space="preserve">  </w:t>
      </w:r>
    </w:p>
    <w:p w14:paraId="5977BA68" w14:textId="77777777" w:rsidR="00BF78CB" w:rsidRPr="008E60AB" w:rsidRDefault="00BF78CB" w:rsidP="002D6DE2">
      <w:pPr>
        <w:rPr>
          <w:rFonts w:ascii="Arial" w:hAnsi="Arial" w:cs="Arial"/>
          <w:szCs w:val="22"/>
        </w:rPr>
      </w:pPr>
    </w:p>
    <w:p w14:paraId="5977BA69" w14:textId="77777777" w:rsidR="004705E8" w:rsidRPr="00F471F6" w:rsidRDefault="004705E8" w:rsidP="002D6DE2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F471F6">
        <w:rPr>
          <w:rFonts w:ascii="Arial" w:hAnsi="Arial" w:cs="Arial"/>
          <w:szCs w:val="22"/>
        </w:rPr>
        <w:t xml:space="preserve">The </w:t>
      </w:r>
      <w:r w:rsidR="009579D3" w:rsidRPr="00F471F6">
        <w:rPr>
          <w:rFonts w:ascii="Arial" w:hAnsi="Arial" w:cs="Arial"/>
          <w:szCs w:val="22"/>
        </w:rPr>
        <w:t>current structure</w:t>
      </w:r>
      <w:r w:rsidR="00C91EA6" w:rsidRPr="00F471F6">
        <w:rPr>
          <w:rFonts w:ascii="Arial" w:hAnsi="Arial" w:cs="Arial"/>
          <w:szCs w:val="22"/>
        </w:rPr>
        <w:t xml:space="preserve"> of membership subscriptions, introduced in April 2010,</w:t>
      </w:r>
      <w:r w:rsidR="009579D3" w:rsidRPr="00F471F6">
        <w:rPr>
          <w:rFonts w:ascii="Arial" w:hAnsi="Arial" w:cs="Arial"/>
          <w:szCs w:val="22"/>
        </w:rPr>
        <w:t xml:space="preserve"> i</w:t>
      </w:r>
      <w:r w:rsidR="00F924F1" w:rsidRPr="00F471F6">
        <w:rPr>
          <w:rFonts w:ascii="Arial" w:hAnsi="Arial" w:cs="Arial"/>
          <w:szCs w:val="22"/>
        </w:rPr>
        <w:t xml:space="preserve">s </w:t>
      </w:r>
      <w:r w:rsidR="006A1C67" w:rsidRPr="00F471F6">
        <w:rPr>
          <w:rFonts w:ascii="Arial" w:hAnsi="Arial" w:cs="Arial"/>
          <w:szCs w:val="22"/>
        </w:rPr>
        <w:t>based broadly on</w:t>
      </w:r>
      <w:r w:rsidR="00F924F1" w:rsidRPr="00F471F6">
        <w:rPr>
          <w:rFonts w:ascii="Arial" w:hAnsi="Arial" w:cs="Arial"/>
          <w:szCs w:val="22"/>
        </w:rPr>
        <w:t xml:space="preserve"> pop</w:t>
      </w:r>
      <w:r w:rsidR="00B35D4E" w:rsidRPr="00F471F6">
        <w:rPr>
          <w:rFonts w:ascii="Arial" w:hAnsi="Arial" w:cs="Arial"/>
          <w:szCs w:val="22"/>
        </w:rPr>
        <w:t>ulation</w:t>
      </w:r>
      <w:r w:rsidR="006A1C67" w:rsidRPr="00F471F6">
        <w:rPr>
          <w:rFonts w:ascii="Arial" w:hAnsi="Arial" w:cs="Arial"/>
          <w:szCs w:val="22"/>
        </w:rPr>
        <w:t>, with formulae</w:t>
      </w:r>
      <w:r w:rsidR="009579D3" w:rsidRPr="00F471F6">
        <w:rPr>
          <w:rFonts w:ascii="Arial" w:hAnsi="Arial" w:cs="Arial"/>
          <w:szCs w:val="22"/>
        </w:rPr>
        <w:t xml:space="preserve"> applied</w:t>
      </w:r>
      <w:r w:rsidR="006A1C67" w:rsidRPr="00F471F6">
        <w:rPr>
          <w:rFonts w:ascii="Arial" w:hAnsi="Arial" w:cs="Arial"/>
          <w:szCs w:val="22"/>
        </w:rPr>
        <w:t xml:space="preserve"> for two tier areas and county councils with responsibility for fire and rescue</w:t>
      </w:r>
      <w:r w:rsidR="00B35D4E" w:rsidRPr="00F471F6">
        <w:rPr>
          <w:rFonts w:ascii="Arial" w:hAnsi="Arial" w:cs="Arial"/>
          <w:szCs w:val="22"/>
        </w:rPr>
        <w:t xml:space="preserve">. </w:t>
      </w:r>
      <w:r w:rsidR="009579D3" w:rsidRPr="00F471F6">
        <w:rPr>
          <w:rFonts w:ascii="Arial" w:hAnsi="Arial" w:cs="Arial"/>
          <w:szCs w:val="22"/>
        </w:rPr>
        <w:t>At the time</w:t>
      </w:r>
      <w:r w:rsidR="004555D6">
        <w:rPr>
          <w:rFonts w:ascii="Arial" w:hAnsi="Arial" w:cs="Arial"/>
          <w:szCs w:val="22"/>
        </w:rPr>
        <w:t>,</w:t>
      </w:r>
      <w:r w:rsidR="002606E7" w:rsidRPr="00F471F6">
        <w:rPr>
          <w:rFonts w:ascii="Arial" w:hAnsi="Arial" w:cs="Arial"/>
          <w:szCs w:val="22"/>
        </w:rPr>
        <w:t xml:space="preserve"> rather complex calculations were adopted to minimise the number of authorities who would see a substantial increase in their subscriptions</w:t>
      </w:r>
      <w:r w:rsidR="00746D9B">
        <w:rPr>
          <w:rFonts w:ascii="Arial" w:hAnsi="Arial" w:cs="Arial"/>
          <w:szCs w:val="22"/>
        </w:rPr>
        <w:t>, with</w:t>
      </w:r>
      <w:r w:rsidR="00F924F1" w:rsidRPr="00F471F6">
        <w:rPr>
          <w:rFonts w:ascii="Arial" w:hAnsi="Arial" w:cs="Arial"/>
          <w:szCs w:val="22"/>
        </w:rPr>
        <w:t xml:space="preserve"> prote</w:t>
      </w:r>
      <w:r w:rsidR="00746D9B">
        <w:rPr>
          <w:rFonts w:ascii="Arial" w:hAnsi="Arial" w:cs="Arial"/>
          <w:szCs w:val="22"/>
        </w:rPr>
        <w:t xml:space="preserve">ction </w:t>
      </w:r>
      <w:r w:rsidR="00F924F1" w:rsidRPr="00F471F6">
        <w:rPr>
          <w:rFonts w:ascii="Arial" w:hAnsi="Arial" w:cs="Arial"/>
          <w:szCs w:val="22"/>
        </w:rPr>
        <w:t xml:space="preserve">for the small number of authorities that would </w:t>
      </w:r>
      <w:r w:rsidR="002606E7" w:rsidRPr="00F471F6">
        <w:rPr>
          <w:rFonts w:ascii="Arial" w:hAnsi="Arial" w:cs="Arial"/>
          <w:szCs w:val="22"/>
        </w:rPr>
        <w:t>still be disadvantaged</w:t>
      </w:r>
      <w:r w:rsidR="00F924F1" w:rsidRPr="00F471F6">
        <w:rPr>
          <w:rFonts w:ascii="Arial" w:hAnsi="Arial" w:cs="Arial"/>
          <w:szCs w:val="22"/>
        </w:rPr>
        <w:t>.</w:t>
      </w:r>
      <w:r w:rsidR="00676855" w:rsidRPr="00F471F6">
        <w:rPr>
          <w:rFonts w:ascii="Arial" w:hAnsi="Arial" w:cs="Arial"/>
          <w:szCs w:val="22"/>
        </w:rPr>
        <w:t xml:space="preserve"> </w:t>
      </w:r>
      <w:r w:rsidR="005A3C26" w:rsidRPr="00F471F6">
        <w:rPr>
          <w:rFonts w:ascii="Arial" w:hAnsi="Arial" w:cs="Arial"/>
          <w:szCs w:val="22"/>
        </w:rPr>
        <w:t xml:space="preserve">A summary of the current scheme is attached at </w:t>
      </w:r>
      <w:r w:rsidR="005A3C26" w:rsidRPr="00C568F9">
        <w:rPr>
          <w:rFonts w:ascii="Arial" w:hAnsi="Arial" w:cs="Arial"/>
          <w:b/>
          <w:szCs w:val="22"/>
          <w:u w:val="single"/>
        </w:rPr>
        <w:t xml:space="preserve">Appendix </w:t>
      </w:r>
      <w:r w:rsidR="004009DB" w:rsidRPr="00C568F9">
        <w:rPr>
          <w:rFonts w:ascii="Arial" w:hAnsi="Arial" w:cs="Arial"/>
          <w:b/>
          <w:szCs w:val="22"/>
          <w:u w:val="single"/>
        </w:rPr>
        <w:t>A</w:t>
      </w:r>
      <w:r w:rsidR="005A3C26" w:rsidRPr="00F471F6">
        <w:rPr>
          <w:rFonts w:ascii="Arial" w:hAnsi="Arial" w:cs="Arial"/>
          <w:szCs w:val="22"/>
        </w:rPr>
        <w:t>.</w:t>
      </w:r>
    </w:p>
    <w:p w14:paraId="5977BA6A" w14:textId="77777777" w:rsidR="00144911" w:rsidRPr="008E60AB" w:rsidRDefault="00144911" w:rsidP="002D6DE2">
      <w:pPr>
        <w:rPr>
          <w:rFonts w:ascii="Arial" w:hAnsi="Arial" w:cs="Arial"/>
          <w:szCs w:val="22"/>
        </w:rPr>
      </w:pPr>
    </w:p>
    <w:p w14:paraId="5977BA6B" w14:textId="77777777" w:rsidR="00C91EA6" w:rsidRDefault="00D03CDC" w:rsidP="002D6DE2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2017/18</w:t>
      </w:r>
      <w:r w:rsidR="00E5041B" w:rsidRPr="00615819">
        <w:rPr>
          <w:rFonts w:ascii="Arial" w:hAnsi="Arial" w:cs="Arial"/>
          <w:szCs w:val="22"/>
        </w:rPr>
        <w:t xml:space="preserve">, subscription income stands </w:t>
      </w:r>
      <w:r w:rsidR="00E5041B" w:rsidRPr="00A9393E">
        <w:rPr>
          <w:rFonts w:ascii="Arial" w:hAnsi="Arial" w:cs="Arial"/>
          <w:szCs w:val="22"/>
        </w:rPr>
        <w:t xml:space="preserve">at </w:t>
      </w:r>
      <w:r w:rsidR="00E5041B" w:rsidRPr="00A9393E">
        <w:rPr>
          <w:rFonts w:ascii="Arial" w:hAnsi="Arial" w:cs="Arial"/>
          <w:b/>
          <w:szCs w:val="22"/>
        </w:rPr>
        <w:t>£9.</w:t>
      </w:r>
      <w:r w:rsidR="00615819" w:rsidRPr="00A9393E">
        <w:rPr>
          <w:rFonts w:ascii="Arial" w:hAnsi="Arial" w:cs="Arial"/>
          <w:b/>
          <w:szCs w:val="22"/>
        </w:rPr>
        <w:t>4</w:t>
      </w:r>
      <w:r w:rsidR="00E5041B" w:rsidRPr="00A9393E">
        <w:rPr>
          <w:rFonts w:ascii="Arial" w:hAnsi="Arial" w:cs="Arial"/>
          <w:b/>
          <w:szCs w:val="22"/>
        </w:rPr>
        <w:t xml:space="preserve"> </w:t>
      </w:r>
      <w:r w:rsidR="00E5041B" w:rsidRPr="005B6964">
        <w:rPr>
          <w:rFonts w:ascii="Arial" w:hAnsi="Arial" w:cs="Arial"/>
          <w:b/>
          <w:szCs w:val="22"/>
        </w:rPr>
        <w:t>million</w:t>
      </w:r>
      <w:r w:rsidR="00E5041B" w:rsidRPr="00615819">
        <w:rPr>
          <w:rFonts w:ascii="Arial" w:hAnsi="Arial" w:cs="Arial"/>
          <w:szCs w:val="22"/>
        </w:rPr>
        <w:t xml:space="preserve">. This is an overall </w:t>
      </w:r>
      <w:r w:rsidR="006A1C67" w:rsidRPr="00615819">
        <w:rPr>
          <w:rFonts w:ascii="Arial" w:hAnsi="Arial" w:cs="Arial"/>
          <w:szCs w:val="22"/>
        </w:rPr>
        <w:t>reduction of</w:t>
      </w:r>
      <w:r w:rsidR="00144911" w:rsidRPr="00615819">
        <w:rPr>
          <w:rFonts w:ascii="Arial" w:hAnsi="Arial" w:cs="Arial"/>
          <w:szCs w:val="22"/>
        </w:rPr>
        <w:t xml:space="preserve"> </w:t>
      </w:r>
      <w:r w:rsidR="00F471F6">
        <w:rPr>
          <w:rFonts w:ascii="Arial" w:hAnsi="Arial" w:cs="Arial"/>
          <w:szCs w:val="22"/>
        </w:rPr>
        <w:t>33</w:t>
      </w:r>
      <w:r w:rsidR="006A1C67" w:rsidRPr="00615819">
        <w:rPr>
          <w:rFonts w:ascii="Arial" w:hAnsi="Arial" w:cs="Arial"/>
          <w:szCs w:val="22"/>
        </w:rPr>
        <w:t>%</w:t>
      </w:r>
      <w:r w:rsidR="00E5041B" w:rsidRPr="00615819">
        <w:rPr>
          <w:rFonts w:ascii="Arial" w:hAnsi="Arial" w:cs="Arial"/>
          <w:szCs w:val="22"/>
        </w:rPr>
        <w:t xml:space="preserve"> since 2009/10</w:t>
      </w:r>
      <w:r w:rsidR="00E270E0" w:rsidRPr="00615819">
        <w:rPr>
          <w:rFonts w:ascii="Arial" w:hAnsi="Arial" w:cs="Arial"/>
          <w:szCs w:val="22"/>
        </w:rPr>
        <w:t xml:space="preserve"> </w:t>
      </w:r>
      <w:r w:rsidR="00746D9B">
        <w:rPr>
          <w:rFonts w:ascii="Arial" w:hAnsi="Arial" w:cs="Arial"/>
          <w:szCs w:val="22"/>
        </w:rPr>
        <w:t>and</w:t>
      </w:r>
      <w:r w:rsidR="00C91EA6" w:rsidRPr="00615819">
        <w:rPr>
          <w:rFonts w:ascii="Arial" w:hAnsi="Arial" w:cs="Arial"/>
          <w:szCs w:val="22"/>
        </w:rPr>
        <w:t xml:space="preserve"> include</w:t>
      </w:r>
      <w:r w:rsidR="00746D9B">
        <w:rPr>
          <w:rFonts w:ascii="Arial" w:hAnsi="Arial" w:cs="Arial"/>
          <w:szCs w:val="22"/>
        </w:rPr>
        <w:t>s:</w:t>
      </w:r>
    </w:p>
    <w:p w14:paraId="5977BA6C" w14:textId="77777777" w:rsidR="002D6DE2" w:rsidRPr="00615819" w:rsidRDefault="002D6DE2" w:rsidP="002D6DE2">
      <w:pPr>
        <w:rPr>
          <w:rFonts w:ascii="Arial" w:hAnsi="Arial" w:cs="Arial"/>
          <w:szCs w:val="22"/>
        </w:rPr>
      </w:pPr>
    </w:p>
    <w:p w14:paraId="5977BA6D" w14:textId="77777777" w:rsidR="00746D9B" w:rsidRDefault="00746D9B" w:rsidP="002D6DE2">
      <w:pPr>
        <w:numPr>
          <w:ilvl w:val="1"/>
          <w:numId w:val="26"/>
        </w:numPr>
        <w:ind w:left="993" w:hanging="567"/>
        <w:rPr>
          <w:rFonts w:ascii="Arial" w:hAnsi="Arial" w:cs="Arial"/>
          <w:szCs w:val="22"/>
        </w:rPr>
      </w:pPr>
      <w:r w:rsidRPr="00746D9B">
        <w:rPr>
          <w:rFonts w:ascii="Arial" w:hAnsi="Arial" w:cs="Arial"/>
          <w:szCs w:val="22"/>
        </w:rPr>
        <w:t xml:space="preserve">2.5% prompt payment discount </w:t>
      </w:r>
      <w:r w:rsidR="00C91EA6" w:rsidRPr="00746D9B">
        <w:rPr>
          <w:rFonts w:ascii="Arial" w:hAnsi="Arial" w:cs="Arial"/>
          <w:szCs w:val="22"/>
        </w:rPr>
        <w:t xml:space="preserve">for </w:t>
      </w:r>
      <w:r w:rsidRPr="00746D9B">
        <w:rPr>
          <w:rFonts w:ascii="Arial" w:hAnsi="Arial" w:cs="Arial"/>
          <w:szCs w:val="22"/>
        </w:rPr>
        <w:t>payment</w:t>
      </w:r>
      <w:r w:rsidR="00C91EA6" w:rsidRPr="00746D9B">
        <w:rPr>
          <w:rFonts w:ascii="Arial" w:hAnsi="Arial" w:cs="Arial"/>
          <w:szCs w:val="22"/>
        </w:rPr>
        <w:t xml:space="preserve"> by 30 June. </w:t>
      </w:r>
    </w:p>
    <w:p w14:paraId="5977BA6E" w14:textId="77777777" w:rsidR="00C91EA6" w:rsidRPr="00746D9B" w:rsidRDefault="00C91EA6" w:rsidP="002D6DE2">
      <w:pPr>
        <w:numPr>
          <w:ilvl w:val="1"/>
          <w:numId w:val="26"/>
        </w:numPr>
        <w:ind w:left="992" w:hanging="567"/>
        <w:rPr>
          <w:rFonts w:ascii="Arial" w:hAnsi="Arial" w:cs="Arial"/>
          <w:szCs w:val="22"/>
        </w:rPr>
      </w:pPr>
      <w:r w:rsidRPr="00746D9B">
        <w:rPr>
          <w:rFonts w:ascii="Arial" w:hAnsi="Arial" w:cs="Arial"/>
          <w:szCs w:val="22"/>
        </w:rPr>
        <w:t xml:space="preserve">2.5% loyalty discount, </w:t>
      </w:r>
      <w:r w:rsidR="00746D9B" w:rsidRPr="00746D9B">
        <w:rPr>
          <w:rFonts w:ascii="Arial" w:hAnsi="Arial" w:cs="Arial"/>
          <w:szCs w:val="22"/>
        </w:rPr>
        <w:t>for councils</w:t>
      </w:r>
      <w:r w:rsidRPr="00746D9B">
        <w:rPr>
          <w:rFonts w:ascii="Arial" w:hAnsi="Arial" w:cs="Arial"/>
          <w:szCs w:val="22"/>
        </w:rPr>
        <w:t xml:space="preserve"> not </w:t>
      </w:r>
      <w:r w:rsidR="00F471F6" w:rsidRPr="00746D9B">
        <w:rPr>
          <w:rFonts w:ascii="Arial" w:hAnsi="Arial" w:cs="Arial"/>
          <w:szCs w:val="22"/>
        </w:rPr>
        <w:t>on</w:t>
      </w:r>
      <w:r w:rsidRPr="00746D9B">
        <w:rPr>
          <w:rFonts w:ascii="Arial" w:hAnsi="Arial" w:cs="Arial"/>
          <w:szCs w:val="22"/>
        </w:rPr>
        <w:t xml:space="preserve"> notice to withdraw from the LGA.</w:t>
      </w:r>
    </w:p>
    <w:p w14:paraId="5977BA6F" w14:textId="77777777" w:rsidR="00E270E0" w:rsidRPr="00615819" w:rsidRDefault="00E270E0" w:rsidP="002D6DE2">
      <w:pPr>
        <w:rPr>
          <w:rFonts w:ascii="Arial" w:hAnsi="Arial" w:cs="Arial"/>
          <w:szCs w:val="22"/>
        </w:rPr>
      </w:pPr>
    </w:p>
    <w:tbl>
      <w:tblPr>
        <w:tblW w:w="952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420"/>
        <w:gridCol w:w="1415"/>
        <w:gridCol w:w="1417"/>
        <w:gridCol w:w="1276"/>
        <w:gridCol w:w="1559"/>
      </w:tblGrid>
      <w:tr w:rsidR="00E067F9" w:rsidRPr="00615819" w14:paraId="5977BA76" w14:textId="77777777" w:rsidTr="002075E0">
        <w:trPr>
          <w:trHeight w:val="510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0" w14:textId="77777777" w:rsidR="00E067F9" w:rsidRPr="00F471F6" w:rsidRDefault="00E067F9" w:rsidP="002D6DE2">
            <w:pPr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 xml:space="preserve">Authority type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1" w14:textId="77777777" w:rsidR="00E067F9" w:rsidRPr="00F471F6" w:rsidRDefault="00E067F9" w:rsidP="002D6DE2">
            <w:pPr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2009-10 subs (£000)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2" w14:textId="77777777" w:rsidR="00E067F9" w:rsidRPr="002075E0" w:rsidRDefault="00B51559" w:rsidP="002D6DE2">
            <w:pPr>
              <w:rPr>
                <w:rFonts w:ascii="Arial" w:hAnsi="Arial" w:cs="Arial"/>
                <w:b/>
                <w:sz w:val="20"/>
              </w:rPr>
            </w:pPr>
            <w:r w:rsidRPr="002075E0">
              <w:rPr>
                <w:rFonts w:ascii="Arial" w:hAnsi="Arial" w:cs="Arial"/>
                <w:b/>
                <w:sz w:val="20"/>
              </w:rPr>
              <w:t>2017-18</w:t>
            </w:r>
            <w:r w:rsidR="00E067F9" w:rsidRPr="002075E0">
              <w:rPr>
                <w:rFonts w:ascii="Arial" w:hAnsi="Arial" w:cs="Arial"/>
                <w:b/>
                <w:sz w:val="20"/>
              </w:rPr>
              <w:t xml:space="preserve"> subs (£000)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3" w14:textId="77777777" w:rsidR="00E067F9" w:rsidRPr="00F471F6" w:rsidRDefault="00E067F9" w:rsidP="002D6DE2">
            <w:pPr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Reduction (£000)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4" w14:textId="77777777" w:rsidR="00E067F9" w:rsidRPr="00F471F6" w:rsidRDefault="00E067F9" w:rsidP="00847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Reduction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14:paraId="5977BA75" w14:textId="77777777" w:rsidR="00E067F9" w:rsidRPr="00F471F6" w:rsidRDefault="00E067F9" w:rsidP="008471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Average</w:t>
            </w:r>
            <w:r w:rsidR="008471D1">
              <w:rPr>
                <w:rFonts w:ascii="Arial" w:hAnsi="Arial" w:cs="Arial"/>
                <w:b/>
                <w:sz w:val="20"/>
              </w:rPr>
              <w:t xml:space="preserve"> sub</w:t>
            </w:r>
            <w:r w:rsidR="006C1300">
              <w:rPr>
                <w:rFonts w:ascii="Arial" w:hAnsi="Arial" w:cs="Arial"/>
                <w:b/>
                <w:sz w:val="20"/>
              </w:rPr>
              <w:t xml:space="preserve"> </w:t>
            </w:r>
            <w:r w:rsidR="006C1300">
              <w:rPr>
                <w:rFonts w:ascii="Arial" w:hAnsi="Arial" w:cs="Arial"/>
                <w:b/>
                <w:sz w:val="20"/>
              </w:rPr>
              <w:br/>
              <w:t>2017-18</w:t>
            </w:r>
            <w:r w:rsidR="00F45FD6">
              <w:rPr>
                <w:rFonts w:ascii="Arial" w:hAnsi="Arial" w:cs="Arial"/>
                <w:b/>
                <w:sz w:val="20"/>
              </w:rPr>
              <w:t xml:space="preserve"> </w:t>
            </w:r>
            <w:r w:rsidR="008471D1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£</w:t>
            </w:r>
            <w:r w:rsidR="008471D1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067F9" w:rsidRPr="00615819" w14:paraId="5977BA7D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7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Shire Districts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8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2,569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9" w14:textId="77777777" w:rsidR="00E067F9" w:rsidRPr="002075E0" w:rsidRDefault="00E067F9" w:rsidP="006C1300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1,8</w:t>
            </w:r>
            <w:r w:rsidR="006C1300" w:rsidRPr="002075E0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A" w14:textId="77777777" w:rsidR="00E067F9" w:rsidRPr="00F471F6" w:rsidRDefault="006C1300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B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7C" w14:textId="77777777" w:rsidR="00E067F9" w:rsidRPr="00F471F6" w:rsidRDefault="00E067F9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9,300</w:t>
            </w:r>
          </w:p>
        </w:tc>
      </w:tr>
      <w:tr w:rsidR="00E067F9" w:rsidRPr="00615819" w14:paraId="5977BA84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E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Counties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7F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2,650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0" w14:textId="77777777" w:rsidR="00E067F9" w:rsidRPr="002075E0" w:rsidRDefault="00E067F9" w:rsidP="006C1300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1,93</w:t>
            </w:r>
            <w:r w:rsidR="006C1300" w:rsidRPr="00207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1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71</w:t>
            </w:r>
            <w:r w:rsidR="006C13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2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83" w14:textId="77777777" w:rsidR="00E067F9" w:rsidRPr="00F471F6" w:rsidRDefault="006C1300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71,8</w:t>
            </w:r>
            <w:r w:rsidR="00E067F9">
              <w:rPr>
                <w:rFonts w:ascii="Arial" w:hAnsi="Arial" w:cs="Arial"/>
                <w:sz w:val="20"/>
              </w:rPr>
              <w:t>00</w:t>
            </w:r>
          </w:p>
        </w:tc>
      </w:tr>
      <w:tr w:rsidR="00E067F9" w:rsidRPr="00615819" w14:paraId="5977BA8B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5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London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6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1,876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7" w14:textId="77777777" w:rsidR="00E067F9" w:rsidRPr="002075E0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1,120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8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9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F471F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8A" w14:textId="77777777" w:rsidR="00E067F9" w:rsidRDefault="006C1300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37,3</w:t>
            </w:r>
            <w:r w:rsidR="00E067F9">
              <w:rPr>
                <w:rFonts w:ascii="Arial" w:hAnsi="Arial" w:cs="Arial"/>
                <w:sz w:val="20"/>
              </w:rPr>
              <w:t>00</w:t>
            </w:r>
          </w:p>
        </w:tc>
      </w:tr>
      <w:tr w:rsidR="00E067F9" w:rsidRPr="00615819" w14:paraId="5977BA92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C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Mets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D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2,605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E" w14:textId="77777777" w:rsidR="00E067F9" w:rsidRPr="002075E0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1,730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8F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0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Pr="00F471F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91" w14:textId="77777777" w:rsidR="00E067F9" w:rsidRDefault="00E067F9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48,000</w:t>
            </w:r>
          </w:p>
        </w:tc>
      </w:tr>
      <w:tr w:rsidR="00E067F9" w:rsidRPr="00615819" w14:paraId="5977BA99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3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proofErr w:type="spellStart"/>
            <w:r w:rsidRPr="00F471F6">
              <w:rPr>
                <w:rFonts w:ascii="Arial" w:hAnsi="Arial" w:cs="Arial"/>
                <w:sz w:val="20"/>
              </w:rPr>
              <w:t>Unitaries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4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3,147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5" w14:textId="77777777" w:rsidR="00E067F9" w:rsidRPr="002075E0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2,23</w:t>
            </w:r>
            <w:r w:rsidR="006C1300" w:rsidRPr="002075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6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91</w:t>
            </w:r>
            <w:r w:rsidR="006C13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7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98" w14:textId="77777777" w:rsidR="00E067F9" w:rsidRPr="00F471F6" w:rsidRDefault="00E067F9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39,800</w:t>
            </w:r>
          </w:p>
        </w:tc>
      </w:tr>
      <w:tr w:rsidR="00E067F9" w:rsidRPr="00615819" w14:paraId="5977BAA0" w14:textId="77777777" w:rsidTr="002075E0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A" w14:textId="77777777" w:rsidR="00E067F9" w:rsidRPr="00F471F6" w:rsidRDefault="00E067F9" w:rsidP="002D6DE2">
            <w:pPr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 xml:space="preserve">English </w:t>
            </w:r>
            <w:r w:rsidRPr="00F471F6">
              <w:rPr>
                <w:rFonts w:ascii="Arial" w:hAnsi="Arial" w:cs="Arial"/>
                <w:b/>
                <w:sz w:val="20"/>
              </w:rPr>
              <w:t>Councils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B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12,847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C" w14:textId="77777777" w:rsidR="006C1300" w:rsidRPr="002075E0" w:rsidRDefault="00E067F9" w:rsidP="006C130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075E0">
              <w:rPr>
                <w:rFonts w:ascii="Arial" w:hAnsi="Arial" w:cs="Arial"/>
                <w:b/>
                <w:sz w:val="20"/>
              </w:rPr>
              <w:t>8,8</w:t>
            </w:r>
            <w:r w:rsidR="006C1300" w:rsidRPr="002075E0">
              <w:rPr>
                <w:rFonts w:ascii="Arial" w:hAnsi="Arial" w:cs="Arial"/>
                <w:b/>
                <w:sz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D" w14:textId="77777777" w:rsidR="00E067F9" w:rsidRPr="00F471F6" w:rsidRDefault="00E067F9" w:rsidP="00A9393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3,9</w:t>
            </w:r>
            <w:r w:rsidR="00A9393E">
              <w:rPr>
                <w:rFonts w:ascii="Arial" w:hAnsi="Arial" w:cs="Arial"/>
                <w:b/>
                <w:sz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9E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31%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14:paraId="5977BA9F" w14:textId="77777777" w:rsidR="00E067F9" w:rsidRPr="00F471F6" w:rsidRDefault="00A9393E" w:rsidP="008471D1">
            <w:pPr>
              <w:ind w:right="2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25,4</w:t>
            </w:r>
            <w:r w:rsidR="00E067F9">
              <w:rPr>
                <w:rFonts w:ascii="Arial" w:hAnsi="Arial" w:cs="Arial"/>
                <w:b/>
                <w:sz w:val="20"/>
              </w:rPr>
              <w:t>00</w:t>
            </w:r>
          </w:p>
        </w:tc>
      </w:tr>
      <w:tr w:rsidR="00E067F9" w:rsidRPr="00615819" w14:paraId="5977BAA7" w14:textId="77777777" w:rsidTr="002075E0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1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Single Service (</w:t>
            </w:r>
            <w:r w:rsidR="00C568F9" w:rsidRPr="00F471F6">
              <w:rPr>
                <w:rFonts w:ascii="Arial" w:hAnsi="Arial" w:cs="Arial"/>
                <w:sz w:val="20"/>
              </w:rPr>
              <w:t>e.g.</w:t>
            </w:r>
            <w:r w:rsidRPr="00F471F6">
              <w:rPr>
                <w:rFonts w:ascii="Arial" w:hAnsi="Arial" w:cs="Arial"/>
                <w:sz w:val="20"/>
              </w:rPr>
              <w:t xml:space="preserve"> Fire)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2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3" w14:textId="77777777" w:rsidR="00E067F9" w:rsidRPr="002075E0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33</w:t>
            </w:r>
            <w:r w:rsidR="006C1300" w:rsidRPr="002075E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4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C130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5" w14:textId="77777777" w:rsidR="00E067F9" w:rsidRPr="00F471F6" w:rsidRDefault="00A9393E" w:rsidP="002D6D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  <w:r w:rsidR="00E067F9" w:rsidRPr="00F471F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7BAA6" w14:textId="77777777" w:rsidR="00E067F9" w:rsidRDefault="006C1300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9,7</w:t>
            </w:r>
            <w:r w:rsidR="00E067F9">
              <w:rPr>
                <w:rFonts w:ascii="Arial" w:hAnsi="Arial" w:cs="Arial"/>
                <w:sz w:val="20"/>
              </w:rPr>
              <w:t>00</w:t>
            </w:r>
          </w:p>
        </w:tc>
      </w:tr>
      <w:tr w:rsidR="00E067F9" w:rsidRPr="00615819" w14:paraId="5977BAAE" w14:textId="77777777" w:rsidTr="002075E0">
        <w:trPr>
          <w:trHeight w:val="315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8" w14:textId="77777777" w:rsidR="00E067F9" w:rsidRPr="00F471F6" w:rsidRDefault="00E067F9" w:rsidP="002D6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Welsh LGA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9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A" w14:textId="77777777" w:rsidR="00E067F9" w:rsidRPr="002075E0" w:rsidRDefault="00E067F9" w:rsidP="002075E0">
            <w:pPr>
              <w:jc w:val="right"/>
              <w:rPr>
                <w:rFonts w:ascii="Arial" w:hAnsi="Arial" w:cs="Arial"/>
                <w:sz w:val="20"/>
              </w:rPr>
            </w:pPr>
            <w:r w:rsidRPr="002075E0">
              <w:rPr>
                <w:rFonts w:ascii="Arial" w:hAnsi="Arial" w:cs="Arial"/>
                <w:sz w:val="20"/>
              </w:rPr>
              <w:t>2</w:t>
            </w:r>
            <w:r w:rsidR="002075E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B" w14:textId="77777777" w:rsidR="00E067F9" w:rsidRPr="00F471F6" w:rsidRDefault="00E067F9" w:rsidP="002075E0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1</w:t>
            </w:r>
            <w:r w:rsidR="002075E0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C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sz w:val="20"/>
              </w:rPr>
            </w:pPr>
            <w:r w:rsidRPr="00F471F6">
              <w:rPr>
                <w:rFonts w:ascii="Arial" w:hAnsi="Arial" w:cs="Arial"/>
                <w:sz w:val="20"/>
              </w:rPr>
              <w:t>3</w:t>
            </w:r>
            <w:r w:rsidR="002075E0">
              <w:rPr>
                <w:rFonts w:ascii="Arial" w:hAnsi="Arial" w:cs="Arial"/>
                <w:sz w:val="20"/>
              </w:rPr>
              <w:t>7</w:t>
            </w:r>
            <w:r w:rsidRPr="00F471F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77BAAD" w14:textId="77777777" w:rsidR="00E067F9" w:rsidRPr="00F471F6" w:rsidRDefault="002075E0" w:rsidP="008471D1">
            <w:pPr>
              <w:ind w:right="2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  <w:r w:rsidR="00E067F9">
              <w:rPr>
                <w:rFonts w:ascii="Arial" w:hAnsi="Arial" w:cs="Arial"/>
                <w:sz w:val="20"/>
              </w:rPr>
              <w:t>,400</w:t>
            </w:r>
          </w:p>
        </w:tc>
      </w:tr>
      <w:tr w:rsidR="00DF4407" w:rsidRPr="00E270E0" w14:paraId="5977BAB5" w14:textId="77777777" w:rsidTr="002075E0">
        <w:trPr>
          <w:trHeight w:val="33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AF" w14:textId="77777777" w:rsidR="00E067F9" w:rsidRPr="00F471F6" w:rsidRDefault="00E067F9" w:rsidP="002D6DE2">
            <w:pPr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All Authorities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B0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14,029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B1" w14:textId="77777777" w:rsidR="00E067F9" w:rsidRPr="002075E0" w:rsidRDefault="00E067F9" w:rsidP="002075E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075E0">
              <w:rPr>
                <w:rFonts w:ascii="Arial" w:hAnsi="Arial" w:cs="Arial"/>
                <w:b/>
                <w:sz w:val="20"/>
              </w:rPr>
              <w:t>9,4</w:t>
            </w:r>
            <w:r w:rsidR="002075E0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B2" w14:textId="77777777" w:rsidR="00E067F9" w:rsidRPr="00F471F6" w:rsidRDefault="00E067F9" w:rsidP="002075E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4,</w:t>
            </w:r>
            <w:r w:rsidR="002075E0">
              <w:rPr>
                <w:rFonts w:ascii="Arial" w:hAnsi="Arial" w:cs="Arial"/>
                <w:b/>
                <w:sz w:val="20"/>
              </w:rPr>
              <w:t>617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BAB3" w14:textId="77777777" w:rsidR="00E067F9" w:rsidRPr="00F471F6" w:rsidRDefault="00E067F9" w:rsidP="002D6DE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471F6">
              <w:rPr>
                <w:rFonts w:ascii="Arial" w:hAnsi="Arial" w:cs="Arial"/>
                <w:b/>
                <w:sz w:val="20"/>
              </w:rPr>
              <w:t>33%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14:paraId="5977BAB4" w14:textId="77777777" w:rsidR="00E067F9" w:rsidRPr="00F471F6" w:rsidRDefault="002075E0" w:rsidP="008471D1">
            <w:pPr>
              <w:ind w:right="2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24,5</w:t>
            </w:r>
            <w:r w:rsidR="00E067F9">
              <w:rPr>
                <w:rFonts w:ascii="Arial" w:hAnsi="Arial" w:cs="Arial"/>
                <w:b/>
                <w:sz w:val="20"/>
              </w:rPr>
              <w:t>00</w:t>
            </w:r>
          </w:p>
        </w:tc>
      </w:tr>
    </w:tbl>
    <w:p w14:paraId="5977BAB6" w14:textId="77777777" w:rsidR="00F26674" w:rsidRDefault="00F26674" w:rsidP="00F26674">
      <w:pPr>
        <w:ind w:left="360"/>
        <w:rPr>
          <w:rFonts w:ascii="Arial" w:hAnsi="Arial" w:cs="Arial"/>
          <w:szCs w:val="22"/>
        </w:rPr>
      </w:pPr>
    </w:p>
    <w:p w14:paraId="5977BAB7" w14:textId="77777777" w:rsidR="00F26674" w:rsidRPr="00D70565" w:rsidRDefault="00F26674" w:rsidP="00D70565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D70565">
        <w:rPr>
          <w:rFonts w:ascii="Arial" w:hAnsi="Arial" w:cs="Arial"/>
          <w:szCs w:val="22"/>
        </w:rPr>
        <w:t xml:space="preserve">This year’s subscriptions </w:t>
      </w:r>
      <w:r w:rsidR="00D70565">
        <w:rPr>
          <w:rFonts w:ascii="Arial" w:hAnsi="Arial" w:cs="Arial"/>
          <w:szCs w:val="22"/>
        </w:rPr>
        <w:t>must</w:t>
      </w:r>
      <w:r w:rsidRPr="00D70565">
        <w:rPr>
          <w:rFonts w:ascii="Arial" w:hAnsi="Arial" w:cs="Arial"/>
          <w:szCs w:val="22"/>
        </w:rPr>
        <w:t xml:space="preserve"> be seen in the broader context of the </w:t>
      </w:r>
      <w:r w:rsidR="00D70565">
        <w:rPr>
          <w:rFonts w:ascii="Arial" w:hAnsi="Arial" w:cs="Arial"/>
          <w:szCs w:val="22"/>
        </w:rPr>
        <w:t>proposal to establish an</w:t>
      </w:r>
      <w:r w:rsidRPr="00D70565">
        <w:rPr>
          <w:rFonts w:ascii="Arial" w:hAnsi="Arial" w:cs="Arial"/>
          <w:szCs w:val="22"/>
        </w:rPr>
        <w:t xml:space="preserve"> incorporated LGA, </w:t>
      </w:r>
      <w:r w:rsidR="00D70565" w:rsidRPr="00D70565">
        <w:rPr>
          <w:rFonts w:ascii="Arial" w:hAnsi="Arial" w:cs="Arial"/>
          <w:szCs w:val="22"/>
        </w:rPr>
        <w:t>agreed by General Assembly in July 2017</w:t>
      </w:r>
      <w:r w:rsidR="00D70565">
        <w:rPr>
          <w:rFonts w:ascii="Arial" w:hAnsi="Arial" w:cs="Arial"/>
          <w:szCs w:val="22"/>
        </w:rPr>
        <w:t xml:space="preserve">, </w:t>
      </w:r>
      <w:r w:rsidRPr="00D70565">
        <w:rPr>
          <w:rFonts w:ascii="Arial" w:hAnsi="Arial" w:cs="Arial"/>
          <w:szCs w:val="22"/>
        </w:rPr>
        <w:t>which will require member councils to sign up to join the new unlimited company</w:t>
      </w:r>
      <w:r w:rsidR="00D70565" w:rsidRPr="00D70565">
        <w:rPr>
          <w:rFonts w:ascii="Arial" w:hAnsi="Arial" w:cs="Arial"/>
          <w:szCs w:val="22"/>
        </w:rPr>
        <w:t>. Given changes in the structure of the LGA, it is not proposed to undertake any review of the subscriptions base at this time</w:t>
      </w:r>
      <w:r w:rsidR="00D70565">
        <w:rPr>
          <w:rFonts w:ascii="Arial" w:hAnsi="Arial" w:cs="Arial"/>
          <w:szCs w:val="22"/>
        </w:rPr>
        <w:t>.</w:t>
      </w:r>
    </w:p>
    <w:p w14:paraId="5977BAB8" w14:textId="77777777" w:rsidR="00F26674" w:rsidRDefault="00F26674" w:rsidP="002D6DE2">
      <w:pPr>
        <w:rPr>
          <w:rFonts w:ascii="Arial" w:hAnsi="Arial" w:cs="Arial"/>
          <w:b/>
          <w:szCs w:val="22"/>
        </w:rPr>
      </w:pPr>
    </w:p>
    <w:p w14:paraId="5977BAB9" w14:textId="77777777" w:rsidR="00C568F9" w:rsidRDefault="007611A6" w:rsidP="002D6DE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Benefits of membership</w:t>
      </w:r>
    </w:p>
    <w:p w14:paraId="5977BABA" w14:textId="77777777" w:rsidR="00C568F9" w:rsidRPr="00C568F9" w:rsidRDefault="00C568F9" w:rsidP="002D6DE2">
      <w:pPr>
        <w:rPr>
          <w:rFonts w:ascii="Arial" w:hAnsi="Arial" w:cs="Arial"/>
          <w:b/>
          <w:szCs w:val="22"/>
        </w:rPr>
      </w:pPr>
    </w:p>
    <w:p w14:paraId="5977BABB" w14:textId="77777777" w:rsidR="00D70565" w:rsidRDefault="007611A6" w:rsidP="008471D1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745EE0">
        <w:rPr>
          <w:rFonts w:ascii="Arial" w:hAnsi="Arial" w:cs="Arial"/>
          <w:szCs w:val="22"/>
        </w:rPr>
        <w:t>A tailored benefits pack is sent to every member of every member council in February/March each year setting out the benefits of LGA membership</w:t>
      </w:r>
      <w:r w:rsidR="00745EE0">
        <w:rPr>
          <w:rFonts w:ascii="Arial" w:hAnsi="Arial" w:cs="Arial"/>
          <w:szCs w:val="22"/>
        </w:rPr>
        <w:t>, including</w:t>
      </w:r>
      <w:r w:rsidRPr="00745EE0">
        <w:rPr>
          <w:rFonts w:ascii="Arial" w:hAnsi="Arial" w:cs="Arial"/>
          <w:szCs w:val="22"/>
        </w:rPr>
        <w:t>.</w:t>
      </w:r>
    </w:p>
    <w:p w14:paraId="5977BABC" w14:textId="77777777" w:rsidR="00745EE0" w:rsidRPr="00745EE0" w:rsidRDefault="00FE0511" w:rsidP="00D70565">
      <w:pPr>
        <w:ind w:left="360"/>
        <w:rPr>
          <w:rFonts w:ascii="Arial" w:hAnsi="Arial" w:cs="Arial"/>
          <w:szCs w:val="22"/>
        </w:rPr>
      </w:pPr>
      <w:r w:rsidRPr="00745EE0">
        <w:rPr>
          <w:rFonts w:ascii="Arial" w:hAnsi="Arial" w:cs="Arial"/>
          <w:szCs w:val="22"/>
        </w:rPr>
        <w:t xml:space="preserve"> </w:t>
      </w:r>
    </w:p>
    <w:p w14:paraId="5977BABD" w14:textId="60CBB621" w:rsidR="00FE0511" w:rsidRPr="00247038" w:rsidRDefault="00745EE0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>L</w:t>
      </w:r>
      <w:r w:rsidR="00FE0511" w:rsidRPr="00247038">
        <w:rPr>
          <w:rFonts w:ascii="Arial" w:hAnsi="Arial" w:cs="Arial"/>
          <w:szCs w:val="22"/>
        </w:rPr>
        <w:t>obby</w:t>
      </w:r>
      <w:r w:rsidRPr="00247038">
        <w:rPr>
          <w:rFonts w:ascii="Arial" w:hAnsi="Arial" w:cs="Arial"/>
          <w:szCs w:val="22"/>
        </w:rPr>
        <w:t xml:space="preserve">ing and influencing on </w:t>
      </w:r>
      <w:r w:rsidR="00FE0511" w:rsidRPr="00247038">
        <w:rPr>
          <w:rFonts w:ascii="Arial" w:hAnsi="Arial" w:cs="Arial"/>
          <w:szCs w:val="22"/>
        </w:rPr>
        <w:t xml:space="preserve">financial and policy decisions </w:t>
      </w:r>
      <w:r w:rsidRPr="00247038">
        <w:rPr>
          <w:rFonts w:ascii="Arial" w:hAnsi="Arial" w:cs="Arial"/>
          <w:szCs w:val="22"/>
        </w:rPr>
        <w:t>affecting councils</w:t>
      </w:r>
    </w:p>
    <w:p w14:paraId="5977BABE" w14:textId="7D8EA594" w:rsidR="00FE0511" w:rsidRPr="00247038" w:rsidRDefault="00745EE0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>P</w:t>
      </w:r>
      <w:r w:rsidR="00FE0511" w:rsidRPr="00247038">
        <w:rPr>
          <w:rFonts w:ascii="Arial" w:hAnsi="Arial" w:cs="Arial"/>
          <w:szCs w:val="22"/>
        </w:rPr>
        <w:t>ress</w:t>
      </w:r>
      <w:r w:rsidRPr="00247038">
        <w:rPr>
          <w:rFonts w:ascii="Arial" w:hAnsi="Arial" w:cs="Arial"/>
          <w:szCs w:val="22"/>
        </w:rPr>
        <w:t>ing</w:t>
      </w:r>
      <w:r w:rsidR="00FE0511" w:rsidRPr="00247038">
        <w:rPr>
          <w:rFonts w:ascii="Arial" w:hAnsi="Arial" w:cs="Arial"/>
          <w:szCs w:val="22"/>
        </w:rPr>
        <w:t xml:space="preserve"> for </w:t>
      </w:r>
      <w:r w:rsidRPr="00247038">
        <w:rPr>
          <w:rFonts w:ascii="Arial" w:hAnsi="Arial" w:cs="Arial"/>
          <w:szCs w:val="22"/>
        </w:rPr>
        <w:t xml:space="preserve">devolution of </w:t>
      </w:r>
      <w:r w:rsidR="00FE0511" w:rsidRPr="00247038">
        <w:rPr>
          <w:rFonts w:ascii="Arial" w:hAnsi="Arial" w:cs="Arial"/>
          <w:szCs w:val="22"/>
        </w:rPr>
        <w:t xml:space="preserve">powers </w:t>
      </w:r>
      <w:r w:rsidRPr="00247038">
        <w:rPr>
          <w:rFonts w:ascii="Arial" w:hAnsi="Arial" w:cs="Arial"/>
          <w:szCs w:val="22"/>
        </w:rPr>
        <w:t>and funding</w:t>
      </w:r>
    </w:p>
    <w:p w14:paraId="5977BABF" w14:textId="51150084" w:rsidR="00D03CDC" w:rsidRPr="00247038" w:rsidRDefault="00D03CDC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>Collective legal actions.</w:t>
      </w:r>
    </w:p>
    <w:p w14:paraId="5977BAC0" w14:textId="13C766EF" w:rsidR="00FE0511" w:rsidRPr="00247038" w:rsidRDefault="00745EE0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 xml:space="preserve">Promoting and defending the sector </w:t>
      </w:r>
      <w:r w:rsidR="00FE0511" w:rsidRPr="00247038">
        <w:rPr>
          <w:rFonts w:ascii="Arial" w:hAnsi="Arial" w:cs="Arial"/>
          <w:szCs w:val="22"/>
        </w:rPr>
        <w:t xml:space="preserve"> </w:t>
      </w:r>
      <w:r w:rsidRPr="00247038">
        <w:rPr>
          <w:rFonts w:ascii="Arial" w:hAnsi="Arial" w:cs="Arial"/>
          <w:szCs w:val="22"/>
        </w:rPr>
        <w:t>in the media</w:t>
      </w:r>
    </w:p>
    <w:p w14:paraId="5977BAC1" w14:textId="27B63A60" w:rsidR="00FE0511" w:rsidRPr="00247038" w:rsidRDefault="00C40E19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lastRenderedPageBreak/>
        <w:t>S</w:t>
      </w:r>
      <w:r w:rsidR="00FE0511" w:rsidRPr="00247038">
        <w:rPr>
          <w:rFonts w:ascii="Arial" w:hAnsi="Arial" w:cs="Arial"/>
          <w:szCs w:val="22"/>
        </w:rPr>
        <w:t>upport</w:t>
      </w:r>
      <w:r w:rsidR="00745EE0" w:rsidRPr="00247038">
        <w:rPr>
          <w:rFonts w:ascii="Arial" w:hAnsi="Arial" w:cs="Arial"/>
          <w:szCs w:val="22"/>
        </w:rPr>
        <w:t>ing</w:t>
      </w:r>
      <w:r w:rsidR="00FE0511" w:rsidRPr="00247038">
        <w:rPr>
          <w:rFonts w:ascii="Arial" w:hAnsi="Arial" w:cs="Arial"/>
          <w:szCs w:val="22"/>
        </w:rPr>
        <w:t xml:space="preserve"> councils to drive innov</w:t>
      </w:r>
      <w:r w:rsidR="00745EE0" w:rsidRPr="00247038">
        <w:rPr>
          <w:rFonts w:ascii="Arial" w:hAnsi="Arial" w:cs="Arial"/>
          <w:szCs w:val="22"/>
        </w:rPr>
        <w:t>ation and improvement, and sharing</w:t>
      </w:r>
      <w:r w:rsidR="00FE0511" w:rsidRPr="00247038">
        <w:rPr>
          <w:rFonts w:ascii="Arial" w:hAnsi="Arial" w:cs="Arial"/>
          <w:szCs w:val="22"/>
        </w:rPr>
        <w:t xml:space="preserve"> best practice </w:t>
      </w:r>
    </w:p>
    <w:p w14:paraId="5977BAC2" w14:textId="7FDED4A1" w:rsidR="00C40E19" w:rsidRPr="00247038" w:rsidRDefault="00C40E19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>A</w:t>
      </w:r>
      <w:r w:rsidR="00745EE0" w:rsidRPr="00247038">
        <w:rPr>
          <w:rFonts w:ascii="Arial" w:hAnsi="Arial" w:cs="Arial"/>
          <w:szCs w:val="22"/>
        </w:rPr>
        <w:t>cting</w:t>
      </w:r>
      <w:r w:rsidR="00FE0511" w:rsidRPr="00247038">
        <w:rPr>
          <w:rFonts w:ascii="Arial" w:hAnsi="Arial" w:cs="Arial"/>
          <w:szCs w:val="22"/>
        </w:rPr>
        <w:t xml:space="preserve"> as national employer</w:t>
      </w:r>
      <w:r w:rsidR="00745EE0" w:rsidRPr="00247038">
        <w:rPr>
          <w:rFonts w:ascii="Arial" w:hAnsi="Arial" w:cs="Arial"/>
          <w:szCs w:val="22"/>
        </w:rPr>
        <w:t xml:space="preserve"> to</w:t>
      </w:r>
      <w:r w:rsidR="00FE0511" w:rsidRPr="00247038">
        <w:rPr>
          <w:rFonts w:ascii="Arial" w:hAnsi="Arial" w:cs="Arial"/>
          <w:szCs w:val="22"/>
        </w:rPr>
        <w:t xml:space="preserve"> negotiate pay </w:t>
      </w:r>
      <w:r w:rsidR="00745EE0" w:rsidRPr="00247038">
        <w:rPr>
          <w:rFonts w:ascii="Arial" w:hAnsi="Arial" w:cs="Arial"/>
          <w:szCs w:val="22"/>
        </w:rPr>
        <w:t>deals and offer</w:t>
      </w:r>
      <w:r w:rsidR="00FE0511" w:rsidRPr="00247038">
        <w:rPr>
          <w:rFonts w:ascii="Arial" w:hAnsi="Arial" w:cs="Arial"/>
          <w:szCs w:val="22"/>
        </w:rPr>
        <w:t xml:space="preserve"> workforce </w:t>
      </w:r>
      <w:r w:rsidR="00745EE0" w:rsidRPr="00247038">
        <w:rPr>
          <w:rFonts w:ascii="Arial" w:hAnsi="Arial" w:cs="Arial"/>
          <w:szCs w:val="22"/>
        </w:rPr>
        <w:t>advice</w:t>
      </w:r>
    </w:p>
    <w:p w14:paraId="5977BAC3" w14:textId="3C5E6B28" w:rsidR="00FE0511" w:rsidRPr="00247038" w:rsidRDefault="00C40E19" w:rsidP="00247038">
      <w:pPr>
        <w:pStyle w:val="ListParagraph"/>
        <w:numPr>
          <w:ilvl w:val="1"/>
          <w:numId w:val="49"/>
        </w:numPr>
        <w:ind w:left="993" w:hanging="567"/>
        <w:rPr>
          <w:rFonts w:ascii="Arial" w:hAnsi="Arial" w:cs="Arial"/>
          <w:szCs w:val="22"/>
        </w:rPr>
      </w:pPr>
      <w:r w:rsidRPr="00247038">
        <w:rPr>
          <w:rFonts w:ascii="Arial" w:hAnsi="Arial" w:cs="Arial"/>
          <w:szCs w:val="22"/>
        </w:rPr>
        <w:t>Political support through the four group offices</w:t>
      </w:r>
      <w:r w:rsidR="00FE0511" w:rsidRPr="00247038">
        <w:rPr>
          <w:rFonts w:ascii="Arial" w:hAnsi="Arial" w:cs="Arial"/>
          <w:szCs w:val="22"/>
        </w:rPr>
        <w:t xml:space="preserve"> </w:t>
      </w:r>
    </w:p>
    <w:p w14:paraId="5977BAC4" w14:textId="77777777" w:rsidR="00FE0511" w:rsidRDefault="00FE0511" w:rsidP="008471D1">
      <w:pPr>
        <w:rPr>
          <w:rFonts w:ascii="Arial" w:hAnsi="Arial" w:cs="Arial"/>
          <w:szCs w:val="22"/>
        </w:rPr>
      </w:pPr>
    </w:p>
    <w:p w14:paraId="5977BAC5" w14:textId="77777777" w:rsidR="00C40E19" w:rsidRDefault="00745EE0" w:rsidP="008471D1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C40E19">
        <w:rPr>
          <w:rFonts w:ascii="Arial" w:hAnsi="Arial" w:cs="Arial"/>
          <w:szCs w:val="22"/>
        </w:rPr>
        <w:t xml:space="preserve">Alongside this, a breakdown of </w:t>
      </w:r>
      <w:r w:rsidR="00C40E19">
        <w:rPr>
          <w:rFonts w:ascii="Arial" w:hAnsi="Arial" w:cs="Arial"/>
          <w:szCs w:val="22"/>
        </w:rPr>
        <w:t xml:space="preserve">specific policy wins and </w:t>
      </w:r>
      <w:r w:rsidRPr="00C40E19">
        <w:rPr>
          <w:rFonts w:ascii="Arial" w:hAnsi="Arial" w:cs="Arial"/>
          <w:szCs w:val="22"/>
        </w:rPr>
        <w:t>funding secured for each authority as a result of LGA activity is included</w:t>
      </w:r>
      <w:r w:rsidR="00C40E19">
        <w:rPr>
          <w:rFonts w:ascii="Arial" w:hAnsi="Arial" w:cs="Arial"/>
          <w:szCs w:val="22"/>
        </w:rPr>
        <w:t>.</w:t>
      </w:r>
    </w:p>
    <w:p w14:paraId="5977BAC6" w14:textId="77777777" w:rsidR="008471D1" w:rsidRDefault="008471D1" w:rsidP="008471D1">
      <w:pPr>
        <w:ind w:left="360"/>
        <w:rPr>
          <w:rFonts w:ascii="Arial" w:hAnsi="Arial" w:cs="Arial"/>
          <w:szCs w:val="22"/>
        </w:rPr>
      </w:pPr>
    </w:p>
    <w:p w14:paraId="5977BAC7" w14:textId="77777777" w:rsidR="00C40E19" w:rsidRDefault="00C40E19" w:rsidP="008471D1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recent years</w:t>
      </w:r>
      <w:r w:rsidR="00D744E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collective legal actions co-ordinated by the LGA have become an increasingly important membership benefit, with legal costs a fraction of those that an individual council would pay. </w:t>
      </w:r>
      <w:r w:rsidR="000800A8">
        <w:rPr>
          <w:rFonts w:ascii="Arial" w:hAnsi="Arial" w:cs="Arial"/>
          <w:szCs w:val="22"/>
        </w:rPr>
        <w:t>Current major actions include co-ordinating claims against charges levied by Visa/</w:t>
      </w:r>
      <w:proofErr w:type="spellStart"/>
      <w:r w:rsidR="000800A8">
        <w:rPr>
          <w:rFonts w:ascii="Arial" w:hAnsi="Arial" w:cs="Arial"/>
          <w:szCs w:val="22"/>
        </w:rPr>
        <w:t>Mastercard</w:t>
      </w:r>
      <w:proofErr w:type="spellEnd"/>
      <w:r w:rsidR="000800A8">
        <w:rPr>
          <w:rFonts w:ascii="Arial" w:hAnsi="Arial" w:cs="Arial"/>
          <w:szCs w:val="22"/>
        </w:rPr>
        <w:t xml:space="preserve"> and against large vehicle cartels in respect of alleged price fixing.</w:t>
      </w:r>
    </w:p>
    <w:p w14:paraId="5977BAC8" w14:textId="77777777" w:rsidR="00C40E19" w:rsidRDefault="00C40E19" w:rsidP="008471D1">
      <w:pPr>
        <w:ind w:left="360"/>
        <w:rPr>
          <w:rFonts w:ascii="Arial" w:hAnsi="Arial" w:cs="Arial"/>
          <w:szCs w:val="22"/>
        </w:rPr>
      </w:pPr>
    </w:p>
    <w:p w14:paraId="5977BAC9" w14:textId="77777777" w:rsidR="002606E7" w:rsidRPr="008E60AB" w:rsidRDefault="00746D9B" w:rsidP="002D6DE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2606E7">
        <w:rPr>
          <w:rFonts w:ascii="Arial" w:hAnsi="Arial" w:cs="Arial"/>
          <w:b/>
          <w:szCs w:val="22"/>
        </w:rPr>
        <w:t>Current</w:t>
      </w:r>
      <w:r w:rsidR="00AB6DEA">
        <w:rPr>
          <w:rFonts w:ascii="Arial" w:hAnsi="Arial" w:cs="Arial"/>
          <w:b/>
          <w:szCs w:val="22"/>
        </w:rPr>
        <w:t xml:space="preserve"> m</w:t>
      </w:r>
      <w:r w:rsidR="00C568F9">
        <w:rPr>
          <w:rFonts w:ascii="Arial" w:hAnsi="Arial" w:cs="Arial"/>
          <w:b/>
          <w:szCs w:val="22"/>
        </w:rPr>
        <w:t>embership position</w:t>
      </w:r>
    </w:p>
    <w:p w14:paraId="5977BACA" w14:textId="77777777" w:rsidR="002606E7" w:rsidRPr="008E60AB" w:rsidRDefault="002606E7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CB" w14:textId="77777777" w:rsidR="00715BC6" w:rsidRDefault="000800A8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Four</w:t>
      </w:r>
      <w:r w:rsidR="002606E7" w:rsidRPr="00746D9B">
        <w:rPr>
          <w:rFonts w:ascii="Arial" w:hAnsi="Arial" w:cs="Arial"/>
          <w:szCs w:val="22"/>
        </w:rPr>
        <w:t xml:space="preserve"> councils are </w:t>
      </w:r>
      <w:r w:rsidR="00AB6DEA" w:rsidRPr="00746D9B">
        <w:rPr>
          <w:rFonts w:ascii="Arial" w:hAnsi="Arial" w:cs="Arial"/>
          <w:szCs w:val="22"/>
        </w:rPr>
        <w:t>currently out of</w:t>
      </w:r>
      <w:r w:rsidR="002606E7" w:rsidRPr="00746D9B">
        <w:rPr>
          <w:rFonts w:ascii="Arial" w:hAnsi="Arial" w:cs="Arial"/>
          <w:szCs w:val="22"/>
        </w:rPr>
        <w:t xml:space="preserve"> membership</w:t>
      </w:r>
      <w:r w:rsidR="00AB6DEA" w:rsidRPr="00746D9B">
        <w:rPr>
          <w:rFonts w:ascii="Arial" w:hAnsi="Arial" w:cs="Arial"/>
          <w:szCs w:val="22"/>
        </w:rPr>
        <w:t xml:space="preserve"> </w:t>
      </w:r>
      <w:r w:rsidR="00715BC6" w:rsidRPr="00746D9B">
        <w:rPr>
          <w:rFonts w:ascii="Arial" w:hAnsi="Arial" w:cs="Arial"/>
          <w:szCs w:val="22"/>
        </w:rPr>
        <w:t>–</w:t>
      </w:r>
      <w:r w:rsidR="00AB6DEA" w:rsidRPr="00746D9B">
        <w:rPr>
          <w:rFonts w:ascii="Arial" w:hAnsi="Arial" w:cs="Arial"/>
          <w:szCs w:val="22"/>
        </w:rPr>
        <w:t xml:space="preserve"> </w:t>
      </w:r>
      <w:r w:rsidR="008D3988">
        <w:rPr>
          <w:rFonts w:ascii="Arial" w:hAnsi="Arial" w:cs="Arial"/>
          <w:szCs w:val="22"/>
        </w:rPr>
        <w:t xml:space="preserve">London Boroughs of </w:t>
      </w:r>
      <w:r w:rsidR="002606E7" w:rsidRPr="00746D9B">
        <w:rPr>
          <w:rFonts w:ascii="Arial" w:hAnsi="Arial" w:cs="Arial"/>
          <w:szCs w:val="22"/>
        </w:rPr>
        <w:t>Bromley</w:t>
      </w:r>
      <w:r w:rsidR="00715BC6" w:rsidRPr="00746D9B">
        <w:rPr>
          <w:rFonts w:ascii="Arial" w:hAnsi="Arial" w:cs="Arial"/>
          <w:szCs w:val="22"/>
        </w:rPr>
        <w:t xml:space="preserve">, </w:t>
      </w:r>
      <w:proofErr w:type="spellStart"/>
      <w:r w:rsidR="00715BC6" w:rsidRPr="00746D9B">
        <w:rPr>
          <w:rFonts w:ascii="Arial" w:hAnsi="Arial" w:cs="Arial"/>
          <w:szCs w:val="22"/>
        </w:rPr>
        <w:t>Wandsworth</w:t>
      </w:r>
      <w:proofErr w:type="spellEnd"/>
      <w:r w:rsidR="002606E7" w:rsidRPr="00746D9B">
        <w:rPr>
          <w:rFonts w:ascii="Arial" w:hAnsi="Arial" w:cs="Arial"/>
          <w:szCs w:val="22"/>
        </w:rPr>
        <w:t xml:space="preserve"> and </w:t>
      </w:r>
      <w:r w:rsidR="008D3988">
        <w:rPr>
          <w:rFonts w:ascii="Arial" w:hAnsi="Arial" w:cs="Arial"/>
          <w:szCs w:val="22"/>
        </w:rPr>
        <w:t>Barnet</w:t>
      </w:r>
      <w:r>
        <w:rPr>
          <w:rFonts w:ascii="Arial" w:hAnsi="Arial" w:cs="Arial"/>
          <w:szCs w:val="22"/>
        </w:rPr>
        <w:t xml:space="preserve"> and Gosport Borough Council</w:t>
      </w:r>
      <w:r w:rsidR="002606E7" w:rsidRPr="00746D9B">
        <w:rPr>
          <w:rFonts w:ascii="Arial" w:hAnsi="Arial" w:cs="Arial"/>
          <w:szCs w:val="22"/>
        </w:rPr>
        <w:t xml:space="preserve">.  </w:t>
      </w:r>
      <w:r w:rsidR="00AB6DEA" w:rsidRPr="00746D9B">
        <w:rPr>
          <w:rFonts w:ascii="Arial" w:hAnsi="Arial" w:cs="Arial"/>
          <w:szCs w:val="22"/>
        </w:rPr>
        <w:t>A further</w:t>
      </w:r>
      <w:r w:rsidR="00F471F6" w:rsidRPr="00746D9B">
        <w:rPr>
          <w:rFonts w:ascii="Arial" w:hAnsi="Arial" w:cs="Arial"/>
          <w:szCs w:val="22"/>
        </w:rPr>
        <w:t xml:space="preserve"> </w:t>
      </w:r>
      <w:r w:rsidR="00354F2E">
        <w:rPr>
          <w:rFonts w:ascii="Arial" w:hAnsi="Arial" w:cs="Arial"/>
          <w:szCs w:val="22"/>
        </w:rPr>
        <w:t>nine</w:t>
      </w:r>
      <w:r w:rsidR="00AB6DEA" w:rsidRPr="00746D9B">
        <w:rPr>
          <w:rFonts w:ascii="Arial" w:hAnsi="Arial" w:cs="Arial"/>
          <w:szCs w:val="22"/>
        </w:rPr>
        <w:t xml:space="preserve"> are on notice. </w:t>
      </w:r>
    </w:p>
    <w:p w14:paraId="5977BACC" w14:textId="77777777" w:rsidR="00746D9B" w:rsidRPr="00746D9B" w:rsidRDefault="00746D9B" w:rsidP="002D6DE2">
      <w:pPr>
        <w:pStyle w:val="MainText"/>
        <w:spacing w:line="240" w:lineRule="auto"/>
        <w:ind w:left="360"/>
        <w:rPr>
          <w:rFonts w:ascii="Arial" w:hAnsi="Arial" w:cs="Arial"/>
          <w:szCs w:val="22"/>
        </w:rPr>
      </w:pPr>
    </w:p>
    <w:tbl>
      <w:tblPr>
        <w:tblW w:w="7434" w:type="dxa"/>
        <w:tblInd w:w="502" w:type="dxa"/>
        <w:tblLook w:val="04A0" w:firstRow="1" w:lastRow="0" w:firstColumn="1" w:lastColumn="0" w:noHBand="0" w:noVBand="1"/>
      </w:tblPr>
      <w:tblGrid>
        <w:gridCol w:w="3717"/>
        <w:gridCol w:w="3717"/>
      </w:tblGrid>
      <w:tr w:rsidR="00EF447E" w:rsidRPr="001B551E" w14:paraId="5977BACE" w14:textId="77777777" w:rsidTr="00C3751E">
        <w:trPr>
          <w:trHeight w:val="300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977BACD" w14:textId="77777777" w:rsidR="00EF447E" w:rsidRPr="001B551E" w:rsidRDefault="00EF447E" w:rsidP="002D6D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B551E">
              <w:rPr>
                <w:rFonts w:ascii="Arial" w:hAnsi="Arial" w:cs="Arial"/>
                <w:b/>
                <w:bCs/>
                <w:color w:val="000000"/>
                <w:sz w:val="20"/>
              </w:rPr>
              <w:t>Authorities on notice</w:t>
            </w:r>
          </w:p>
        </w:tc>
      </w:tr>
      <w:tr w:rsidR="00EF447E" w:rsidRPr="001B551E" w14:paraId="5977BAD1" w14:textId="77777777" w:rsidTr="00EF447E">
        <w:trPr>
          <w:trHeight w:val="28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BACF" w14:textId="77777777" w:rsidR="00EF447E" w:rsidRPr="001B551E" w:rsidRDefault="008D3988" w:rsidP="002D6DE2">
            <w:pPr>
              <w:rPr>
                <w:rFonts w:ascii="Arial" w:hAnsi="Arial" w:cs="Arial"/>
                <w:color w:val="000000"/>
                <w:sz w:val="20"/>
              </w:rPr>
            </w:pPr>
            <w:r w:rsidRPr="001B551E">
              <w:rPr>
                <w:rFonts w:ascii="Arial" w:hAnsi="Arial" w:cs="Arial"/>
                <w:color w:val="000000"/>
                <w:sz w:val="20"/>
              </w:rPr>
              <w:t>East Staffordshire Borough Council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D0" w14:textId="77777777" w:rsidR="00EF447E" w:rsidRPr="001B551E" w:rsidRDefault="0066168E" w:rsidP="002D6DE2">
            <w:pPr>
              <w:rPr>
                <w:rFonts w:ascii="Arial" w:hAnsi="Arial" w:cs="Arial"/>
                <w:sz w:val="20"/>
              </w:rPr>
            </w:pPr>
            <w:r w:rsidRPr="001B551E">
              <w:rPr>
                <w:rFonts w:ascii="Arial" w:hAnsi="Arial" w:cs="Arial"/>
                <w:color w:val="000000"/>
                <w:sz w:val="20"/>
              </w:rPr>
              <w:t xml:space="preserve">London Borough of </w:t>
            </w:r>
            <w:r>
              <w:rPr>
                <w:rFonts w:ascii="Arial" w:hAnsi="Arial" w:cs="Arial"/>
                <w:color w:val="000000"/>
                <w:sz w:val="20"/>
              </w:rPr>
              <w:t>Richmond</w:t>
            </w:r>
          </w:p>
        </w:tc>
      </w:tr>
      <w:tr w:rsidR="00A80853" w:rsidRPr="001B551E" w14:paraId="5977BAD4" w14:textId="77777777" w:rsidTr="00EF447E">
        <w:trPr>
          <w:trHeight w:val="28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AD2" w14:textId="77777777" w:rsidR="00A80853" w:rsidRPr="000800A8" w:rsidRDefault="000800A8" w:rsidP="000800A8">
            <w:pPr>
              <w:spacing w:before="100" w:beforeAutospacing="1" w:after="100" w:afterAutospacing="1"/>
              <w:ind w:left="2700" w:hanging="2700"/>
              <w:rPr>
                <w:rFonts w:ascii="Arial" w:hAnsi="Arial" w:cs="Arial"/>
                <w:color w:val="676767"/>
                <w:sz w:val="16"/>
                <w:szCs w:val="16"/>
              </w:rPr>
            </w:pPr>
            <w:r w:rsidRPr="000800A8">
              <w:rPr>
                <w:rFonts w:ascii="Arial" w:hAnsi="Arial" w:cs="Arial"/>
                <w:color w:val="000000"/>
                <w:sz w:val="20"/>
              </w:rPr>
              <w:t>Essex County Council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D3" w14:textId="77777777" w:rsidR="00A80853" w:rsidRPr="00A80853" w:rsidRDefault="00354F2E" w:rsidP="002D6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Southend Borough Council</w:t>
            </w:r>
          </w:p>
        </w:tc>
      </w:tr>
      <w:tr w:rsidR="00A80853" w:rsidRPr="001B551E" w14:paraId="5977BAD7" w14:textId="77777777" w:rsidTr="00EF447E">
        <w:trPr>
          <w:trHeight w:val="28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AD5" w14:textId="77777777" w:rsidR="00A80853" w:rsidRPr="001B551E" w:rsidRDefault="000800A8" w:rsidP="002D6DE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Hartlepool Borough Council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D6" w14:textId="77777777" w:rsidR="00A80853" w:rsidRPr="00A80853" w:rsidRDefault="0066168E" w:rsidP="002D6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Surrey County Council</w:t>
            </w:r>
          </w:p>
        </w:tc>
      </w:tr>
      <w:tr w:rsidR="000800A8" w:rsidRPr="001B551E" w14:paraId="5977BADA" w14:textId="77777777" w:rsidTr="00EF447E">
        <w:trPr>
          <w:trHeight w:val="28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BAD8" w14:textId="77777777" w:rsidR="000800A8" w:rsidRDefault="00354F2E" w:rsidP="002D6DE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Leicestershire County Council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D9" w14:textId="77777777" w:rsidR="000800A8" w:rsidRDefault="00354F2E" w:rsidP="002D6DE2">
            <w:pPr>
              <w:rPr>
                <w:rFonts w:ascii="Arial" w:hAnsi="Arial" w:cs="Arial"/>
                <w:sz w:val="20"/>
              </w:rPr>
            </w:pPr>
            <w:r w:rsidRPr="00A80853">
              <w:rPr>
                <w:rFonts w:ascii="Arial" w:hAnsi="Arial" w:cs="Arial"/>
                <w:sz w:val="20"/>
              </w:rPr>
              <w:t>West Sussex County Council</w:t>
            </w:r>
          </w:p>
        </w:tc>
      </w:tr>
      <w:tr w:rsidR="00A80853" w:rsidRPr="001B551E" w14:paraId="5977BADD" w14:textId="77777777" w:rsidTr="00EF447E">
        <w:trPr>
          <w:trHeight w:val="285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ADB" w14:textId="77777777" w:rsidR="00A80853" w:rsidRPr="001B551E" w:rsidRDefault="00354F2E" w:rsidP="002D6DE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Lincolnshire County Council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DC" w14:textId="77777777" w:rsidR="00A80853" w:rsidRPr="00A80853" w:rsidRDefault="00A80853" w:rsidP="002D6D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77BADE" w14:textId="77777777" w:rsidR="008D3988" w:rsidRDefault="008D3988" w:rsidP="002D6DE2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5977BADF" w14:textId="77777777" w:rsidR="002606E7" w:rsidRPr="008E60AB" w:rsidRDefault="000770CB" w:rsidP="002D6DE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Financial context</w:t>
      </w:r>
    </w:p>
    <w:p w14:paraId="5977BAE0" w14:textId="77777777" w:rsidR="002606E7" w:rsidRPr="008E60AB" w:rsidRDefault="002606E7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E1" w14:textId="77777777" w:rsidR="00983DC2" w:rsidRDefault="00983DC2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 the current level, subscription income represents </w:t>
      </w:r>
      <w:r w:rsidR="000915E7" w:rsidRPr="000915E7">
        <w:rPr>
          <w:rFonts w:ascii="Arial" w:hAnsi="Arial" w:cs="Arial"/>
          <w:szCs w:val="22"/>
        </w:rPr>
        <w:t>46</w:t>
      </w:r>
      <w:r w:rsidRPr="000915E7">
        <w:rPr>
          <w:rFonts w:ascii="Arial" w:hAnsi="Arial" w:cs="Arial"/>
          <w:szCs w:val="22"/>
        </w:rPr>
        <w:t>%</w:t>
      </w:r>
      <w:r>
        <w:rPr>
          <w:rFonts w:ascii="Arial" w:hAnsi="Arial" w:cs="Arial"/>
          <w:szCs w:val="22"/>
        </w:rPr>
        <w:t xml:space="preserve"> of budgeted</w:t>
      </w:r>
      <w:r w:rsidR="000770CB">
        <w:rPr>
          <w:rFonts w:ascii="Arial" w:hAnsi="Arial" w:cs="Arial"/>
          <w:szCs w:val="22"/>
        </w:rPr>
        <w:t xml:space="preserve"> income</w:t>
      </w:r>
      <w:r>
        <w:rPr>
          <w:rFonts w:ascii="Arial" w:hAnsi="Arial" w:cs="Arial"/>
          <w:szCs w:val="22"/>
        </w:rPr>
        <w:t xml:space="preserve"> for the LGA as a standalone entity in the current financial year. The targeted increase</w:t>
      </w:r>
      <w:r w:rsidR="000770CB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 levels of commercial income over the current and </w:t>
      </w:r>
      <w:r w:rsidR="000770CB">
        <w:rPr>
          <w:rFonts w:ascii="Arial" w:hAnsi="Arial" w:cs="Arial"/>
          <w:szCs w:val="22"/>
        </w:rPr>
        <w:t>next two</w:t>
      </w:r>
      <w:r>
        <w:rPr>
          <w:rFonts w:ascii="Arial" w:hAnsi="Arial" w:cs="Arial"/>
          <w:szCs w:val="22"/>
        </w:rPr>
        <w:t xml:space="preserve"> financial years </w:t>
      </w:r>
      <w:r w:rsidR="000770CB">
        <w:rPr>
          <w:rFonts w:ascii="Arial" w:hAnsi="Arial" w:cs="Arial"/>
          <w:szCs w:val="22"/>
        </w:rPr>
        <w:t>will</w:t>
      </w:r>
      <w:r>
        <w:rPr>
          <w:rFonts w:ascii="Arial" w:hAnsi="Arial" w:cs="Arial"/>
          <w:szCs w:val="22"/>
        </w:rPr>
        <w:t xml:space="preserve"> help meet unavoidable cost increases driven by inflation and pension deficit repayments. </w:t>
      </w:r>
    </w:p>
    <w:p w14:paraId="5977BAE2" w14:textId="77777777" w:rsidR="00983DC2" w:rsidRDefault="00983DC2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E3" w14:textId="77777777" w:rsidR="00764601" w:rsidRPr="004525F0" w:rsidRDefault="00983DC2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4525F0">
        <w:rPr>
          <w:rFonts w:ascii="Arial" w:hAnsi="Arial" w:cs="Arial"/>
          <w:szCs w:val="22"/>
        </w:rPr>
        <w:t xml:space="preserve">The LGA’s </w:t>
      </w:r>
      <w:r w:rsidR="000770CB" w:rsidRPr="004525F0">
        <w:rPr>
          <w:rFonts w:ascii="Arial" w:hAnsi="Arial" w:cs="Arial"/>
          <w:szCs w:val="22"/>
        </w:rPr>
        <w:t>r</w:t>
      </w:r>
      <w:r w:rsidRPr="004525F0">
        <w:rPr>
          <w:rFonts w:ascii="Arial" w:hAnsi="Arial" w:cs="Arial"/>
          <w:szCs w:val="22"/>
        </w:rPr>
        <w:t xml:space="preserve">evenue </w:t>
      </w:r>
      <w:r w:rsidR="007A25F9" w:rsidRPr="004525F0">
        <w:rPr>
          <w:rFonts w:ascii="Arial" w:hAnsi="Arial" w:cs="Arial"/>
          <w:szCs w:val="22"/>
        </w:rPr>
        <w:t>expenditure over this timeframe has been forecast in the 3 Year Financial Strategy to remain reasonably stable, with the opp</w:t>
      </w:r>
      <w:r w:rsidR="00B23A19" w:rsidRPr="004525F0">
        <w:rPr>
          <w:rFonts w:ascii="Arial" w:hAnsi="Arial" w:cs="Arial"/>
          <w:szCs w:val="22"/>
        </w:rPr>
        <w:t>ortunity to use part of the £1,705</w:t>
      </w:r>
      <w:r w:rsidR="007A25F9" w:rsidRPr="004525F0">
        <w:rPr>
          <w:rFonts w:ascii="Arial" w:hAnsi="Arial" w:cs="Arial"/>
          <w:szCs w:val="22"/>
        </w:rPr>
        <w:t>k placed into the</w:t>
      </w:r>
      <w:r w:rsidR="00640A4C" w:rsidRPr="004525F0">
        <w:rPr>
          <w:rFonts w:ascii="Arial" w:hAnsi="Arial" w:cs="Arial"/>
          <w:szCs w:val="22"/>
        </w:rPr>
        <w:t xml:space="preserve"> </w:t>
      </w:r>
      <w:r w:rsidR="007A25F9" w:rsidRPr="004525F0">
        <w:rPr>
          <w:rFonts w:ascii="Arial" w:hAnsi="Arial" w:cs="Arial"/>
          <w:szCs w:val="22"/>
        </w:rPr>
        <w:t xml:space="preserve">Risk and Contingency Reserve to </w:t>
      </w:r>
      <w:r w:rsidR="000770CB" w:rsidRPr="004525F0">
        <w:rPr>
          <w:rFonts w:ascii="Arial" w:hAnsi="Arial" w:cs="Arial"/>
          <w:szCs w:val="22"/>
        </w:rPr>
        <w:t xml:space="preserve">cover </w:t>
      </w:r>
      <w:r w:rsidR="007A25F9" w:rsidRPr="004525F0">
        <w:rPr>
          <w:rFonts w:ascii="Arial" w:hAnsi="Arial" w:cs="Arial"/>
          <w:szCs w:val="22"/>
        </w:rPr>
        <w:t xml:space="preserve">budget gaps, until the revenue income from the property developments begins to make a significant contribution to LGA costs from 2018/19. </w:t>
      </w:r>
      <w:r w:rsidR="00827A4A" w:rsidRPr="004525F0">
        <w:rPr>
          <w:rFonts w:ascii="Arial" w:hAnsi="Arial" w:cs="Arial"/>
          <w:szCs w:val="22"/>
          <w:lang w:val="en-US"/>
        </w:rPr>
        <w:t>However, the financial strategy continues to be dependent on</w:t>
      </w:r>
      <w:r w:rsidR="006434CB" w:rsidRPr="004525F0">
        <w:rPr>
          <w:rFonts w:ascii="Arial" w:hAnsi="Arial" w:cs="Arial"/>
          <w:szCs w:val="22"/>
          <w:lang w:val="en-US"/>
        </w:rPr>
        <w:t xml:space="preserve"> substantial, albeit reducing levels </w:t>
      </w:r>
      <w:r w:rsidR="00256F4F" w:rsidRPr="004525F0">
        <w:rPr>
          <w:rFonts w:ascii="Arial" w:hAnsi="Arial" w:cs="Arial"/>
          <w:szCs w:val="22"/>
          <w:lang w:val="en-US"/>
        </w:rPr>
        <w:t>of funding from Government</w:t>
      </w:r>
      <w:r w:rsidR="002F7B51" w:rsidRPr="004525F0">
        <w:rPr>
          <w:rFonts w:ascii="Arial" w:hAnsi="Arial" w:cs="Arial"/>
          <w:szCs w:val="22"/>
          <w:lang w:val="en-US"/>
        </w:rPr>
        <w:t xml:space="preserve"> and</w:t>
      </w:r>
      <w:r w:rsidR="000770CB" w:rsidRPr="004525F0">
        <w:rPr>
          <w:rFonts w:ascii="Arial" w:hAnsi="Arial" w:cs="Arial"/>
          <w:szCs w:val="22"/>
          <w:lang w:val="en-US"/>
        </w:rPr>
        <w:t xml:space="preserve"> </w:t>
      </w:r>
      <w:r w:rsidR="002F7B51" w:rsidRPr="004525F0">
        <w:rPr>
          <w:rFonts w:ascii="Arial" w:hAnsi="Arial" w:cs="Arial"/>
          <w:szCs w:val="22"/>
          <w:lang w:val="en-US"/>
        </w:rPr>
        <w:t>there</w:t>
      </w:r>
      <w:r w:rsidR="00256F4F" w:rsidRPr="004525F0">
        <w:rPr>
          <w:rFonts w:ascii="Arial" w:hAnsi="Arial" w:cs="Arial"/>
          <w:szCs w:val="22"/>
          <w:lang w:val="en-US"/>
        </w:rPr>
        <w:t xml:space="preserve"> is a degree of risk associated with the projected</w:t>
      </w:r>
      <w:r w:rsidR="007C545D" w:rsidRPr="004525F0">
        <w:rPr>
          <w:rFonts w:ascii="Arial" w:hAnsi="Arial" w:cs="Arial"/>
          <w:szCs w:val="22"/>
          <w:lang w:val="en-US"/>
        </w:rPr>
        <w:t xml:space="preserve"> </w:t>
      </w:r>
      <w:r w:rsidR="006434CB" w:rsidRPr="004525F0">
        <w:rPr>
          <w:rFonts w:ascii="Arial" w:hAnsi="Arial" w:cs="Arial"/>
          <w:szCs w:val="22"/>
          <w:lang w:val="en-US"/>
        </w:rPr>
        <w:t xml:space="preserve">increases in commercial income. </w:t>
      </w:r>
    </w:p>
    <w:p w14:paraId="5977BAE4" w14:textId="77777777" w:rsidR="007C545D" w:rsidRDefault="007C545D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E5" w14:textId="77777777" w:rsidR="007C545D" w:rsidRPr="008471D1" w:rsidRDefault="007C545D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US"/>
        </w:rPr>
        <w:t xml:space="preserve">Each 1% increase in subscription </w:t>
      </w:r>
      <w:r w:rsidR="000F583A">
        <w:rPr>
          <w:rFonts w:ascii="Arial" w:hAnsi="Arial" w:cs="Arial"/>
          <w:szCs w:val="22"/>
          <w:lang w:val="en-US"/>
        </w:rPr>
        <w:t>levels would</w:t>
      </w:r>
      <w:r w:rsidR="00C4089B">
        <w:rPr>
          <w:rFonts w:ascii="Arial" w:hAnsi="Arial" w:cs="Arial"/>
          <w:szCs w:val="22"/>
          <w:lang w:val="en-US"/>
        </w:rPr>
        <w:t xml:space="preserve"> generate just under </w:t>
      </w:r>
      <w:r w:rsidR="000770CB">
        <w:rPr>
          <w:rFonts w:ascii="Arial" w:hAnsi="Arial" w:cs="Arial"/>
          <w:szCs w:val="22"/>
          <w:lang w:val="en-US"/>
        </w:rPr>
        <w:t>£</w:t>
      </w:r>
      <w:r w:rsidR="00C4089B">
        <w:rPr>
          <w:rFonts w:ascii="Arial" w:hAnsi="Arial" w:cs="Arial"/>
          <w:szCs w:val="22"/>
          <w:lang w:val="en-US"/>
        </w:rPr>
        <w:t>100,000</w:t>
      </w:r>
      <w:r>
        <w:rPr>
          <w:rFonts w:ascii="Arial" w:hAnsi="Arial" w:cs="Arial"/>
          <w:szCs w:val="22"/>
          <w:lang w:val="en-US"/>
        </w:rPr>
        <w:t xml:space="preserve"> </w:t>
      </w:r>
      <w:r w:rsidR="00C4089B">
        <w:rPr>
          <w:rFonts w:ascii="Arial" w:hAnsi="Arial" w:cs="Arial"/>
          <w:szCs w:val="22"/>
          <w:lang w:val="en-US"/>
        </w:rPr>
        <w:t xml:space="preserve">additional income. This may seem insignificant on a single year basis but small </w:t>
      </w:r>
      <w:r w:rsidR="00E22AE6">
        <w:rPr>
          <w:rFonts w:ascii="Arial" w:hAnsi="Arial" w:cs="Arial"/>
          <w:szCs w:val="22"/>
          <w:lang w:val="en-US"/>
        </w:rPr>
        <w:t>annual increase</w:t>
      </w:r>
      <w:r w:rsidR="00C4089B">
        <w:rPr>
          <w:rFonts w:ascii="Arial" w:hAnsi="Arial" w:cs="Arial"/>
          <w:szCs w:val="22"/>
          <w:lang w:val="en-US"/>
        </w:rPr>
        <w:t xml:space="preserve"> over a period of years </w:t>
      </w:r>
      <w:r w:rsidR="00E22AE6">
        <w:rPr>
          <w:rFonts w:ascii="Arial" w:hAnsi="Arial" w:cs="Arial"/>
          <w:szCs w:val="22"/>
          <w:lang w:val="en-US"/>
        </w:rPr>
        <w:t xml:space="preserve">would contribute to the </w:t>
      </w:r>
      <w:r w:rsidR="000770CB">
        <w:rPr>
          <w:rFonts w:ascii="Arial" w:hAnsi="Arial" w:cs="Arial"/>
          <w:szCs w:val="22"/>
          <w:lang w:val="en-US"/>
        </w:rPr>
        <w:t>A</w:t>
      </w:r>
      <w:r w:rsidR="00E22AE6">
        <w:rPr>
          <w:rFonts w:ascii="Arial" w:hAnsi="Arial" w:cs="Arial"/>
          <w:szCs w:val="22"/>
          <w:lang w:val="en-US"/>
        </w:rPr>
        <w:t>ssociation’</w:t>
      </w:r>
      <w:r w:rsidR="002F7B51">
        <w:rPr>
          <w:rFonts w:ascii="Arial" w:hAnsi="Arial" w:cs="Arial"/>
          <w:szCs w:val="22"/>
          <w:lang w:val="en-US"/>
        </w:rPr>
        <w:t>s</w:t>
      </w:r>
      <w:r w:rsidR="00E22AE6">
        <w:rPr>
          <w:rFonts w:ascii="Arial" w:hAnsi="Arial" w:cs="Arial"/>
          <w:szCs w:val="22"/>
          <w:lang w:val="en-US"/>
        </w:rPr>
        <w:t xml:space="preserve"> </w:t>
      </w:r>
      <w:r w:rsidR="002F7B51">
        <w:rPr>
          <w:rFonts w:ascii="Arial" w:hAnsi="Arial" w:cs="Arial"/>
          <w:szCs w:val="22"/>
          <w:lang w:val="en-US"/>
        </w:rPr>
        <w:t>financial</w:t>
      </w:r>
      <w:r w:rsidR="00E22AE6">
        <w:rPr>
          <w:rFonts w:ascii="Arial" w:hAnsi="Arial" w:cs="Arial"/>
          <w:szCs w:val="22"/>
          <w:lang w:val="en-US"/>
        </w:rPr>
        <w:t xml:space="preserve"> sustainability.</w:t>
      </w:r>
    </w:p>
    <w:p w14:paraId="5977BAE6" w14:textId="77777777" w:rsidR="000770CB" w:rsidRDefault="000770CB" w:rsidP="008471D1">
      <w:pPr>
        <w:pStyle w:val="ListParagraph"/>
        <w:rPr>
          <w:rFonts w:ascii="Arial" w:hAnsi="Arial" w:cs="Arial"/>
          <w:szCs w:val="22"/>
        </w:rPr>
      </w:pPr>
    </w:p>
    <w:p w14:paraId="5977BAE7" w14:textId="77777777" w:rsidR="000770CB" w:rsidRPr="008471D1" w:rsidRDefault="000770CB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Against this are set the continuing financial challenges facing member authorities and</w:t>
      </w:r>
      <w:r w:rsidR="00F45FD6">
        <w:rPr>
          <w:rFonts w:ascii="Arial" w:hAnsi="Arial" w:cs="Arial"/>
          <w:szCs w:val="22"/>
        </w:rPr>
        <w:t xml:space="preserve"> the commitment of Leadership Board to keep subscriptions as low as is practically possible. </w:t>
      </w:r>
    </w:p>
    <w:p w14:paraId="5977BAE8" w14:textId="77777777" w:rsidR="000770CB" w:rsidRDefault="000770CB" w:rsidP="008471D1">
      <w:pPr>
        <w:pStyle w:val="ListParagraph"/>
        <w:rPr>
          <w:rFonts w:ascii="Arial" w:hAnsi="Arial" w:cs="Arial"/>
          <w:szCs w:val="22"/>
        </w:rPr>
      </w:pPr>
    </w:p>
    <w:p w14:paraId="0A30AE82" w14:textId="77777777" w:rsidR="00247038" w:rsidRDefault="00247038" w:rsidP="008471D1">
      <w:pPr>
        <w:pStyle w:val="ListParagraph"/>
        <w:rPr>
          <w:rFonts w:ascii="Arial" w:hAnsi="Arial" w:cs="Arial"/>
          <w:szCs w:val="22"/>
        </w:rPr>
      </w:pPr>
    </w:p>
    <w:p w14:paraId="5977BAE9" w14:textId="77777777" w:rsidR="000770CB" w:rsidRPr="008471D1" w:rsidRDefault="00B23A19" w:rsidP="008471D1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LGA subscriptions 2018/19</w:t>
      </w:r>
      <w:r w:rsidR="000770CB" w:rsidRPr="008471D1">
        <w:rPr>
          <w:rFonts w:ascii="Arial" w:hAnsi="Arial" w:cs="Arial"/>
          <w:b/>
          <w:szCs w:val="22"/>
        </w:rPr>
        <w:t xml:space="preserve"> - options</w:t>
      </w:r>
    </w:p>
    <w:p w14:paraId="5977BAEA" w14:textId="77777777" w:rsidR="00764601" w:rsidRDefault="00764601" w:rsidP="002D6DE2">
      <w:pPr>
        <w:pStyle w:val="ListParagraph"/>
        <w:rPr>
          <w:rFonts w:ascii="Arial" w:hAnsi="Arial" w:cs="Arial"/>
          <w:szCs w:val="22"/>
        </w:rPr>
      </w:pPr>
    </w:p>
    <w:p w14:paraId="5977BAEB" w14:textId="77777777" w:rsidR="002606E7" w:rsidRPr="00764601" w:rsidRDefault="00AB3D3A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764601">
        <w:rPr>
          <w:rFonts w:ascii="Arial" w:hAnsi="Arial" w:cs="Arial"/>
          <w:szCs w:val="22"/>
        </w:rPr>
        <w:t>In the light of the financial position, t</w:t>
      </w:r>
      <w:r w:rsidR="002606E7" w:rsidRPr="00764601">
        <w:rPr>
          <w:rFonts w:ascii="Arial" w:hAnsi="Arial" w:cs="Arial"/>
          <w:szCs w:val="22"/>
        </w:rPr>
        <w:t xml:space="preserve">his paper </w:t>
      </w:r>
      <w:r w:rsidR="00FF7625" w:rsidRPr="00764601">
        <w:rPr>
          <w:rFonts w:ascii="Arial" w:hAnsi="Arial" w:cs="Arial"/>
          <w:szCs w:val="22"/>
        </w:rPr>
        <w:t>suggests</w:t>
      </w:r>
      <w:r w:rsidR="002606E7" w:rsidRPr="00764601">
        <w:rPr>
          <w:rFonts w:ascii="Arial" w:hAnsi="Arial" w:cs="Arial"/>
          <w:szCs w:val="22"/>
        </w:rPr>
        <w:t xml:space="preserve"> 3 options for </w:t>
      </w:r>
      <w:r w:rsidR="00FF7625" w:rsidRPr="00764601">
        <w:rPr>
          <w:rFonts w:ascii="Arial" w:hAnsi="Arial" w:cs="Arial"/>
          <w:szCs w:val="22"/>
        </w:rPr>
        <w:t>201</w:t>
      </w:r>
      <w:r w:rsidR="008D3988" w:rsidRPr="00764601">
        <w:rPr>
          <w:rFonts w:ascii="Arial" w:hAnsi="Arial" w:cs="Arial"/>
          <w:szCs w:val="22"/>
        </w:rPr>
        <w:t>7</w:t>
      </w:r>
      <w:r w:rsidR="00FF7625" w:rsidRPr="00764601">
        <w:rPr>
          <w:rFonts w:ascii="Arial" w:hAnsi="Arial" w:cs="Arial"/>
          <w:szCs w:val="22"/>
        </w:rPr>
        <w:t>/1</w:t>
      </w:r>
      <w:r w:rsidR="008D3988" w:rsidRPr="00764601">
        <w:rPr>
          <w:rFonts w:ascii="Arial" w:hAnsi="Arial" w:cs="Arial"/>
          <w:szCs w:val="22"/>
        </w:rPr>
        <w:t>8</w:t>
      </w:r>
      <w:r w:rsidR="002606E7" w:rsidRPr="00764601">
        <w:rPr>
          <w:rFonts w:ascii="Arial" w:hAnsi="Arial" w:cs="Arial"/>
          <w:szCs w:val="22"/>
        </w:rPr>
        <w:t>.</w:t>
      </w:r>
    </w:p>
    <w:p w14:paraId="5977BAEC" w14:textId="77777777" w:rsidR="002606E7" w:rsidRPr="008E60AB" w:rsidRDefault="002606E7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ED" w14:textId="77777777" w:rsidR="002606E7" w:rsidRPr="008E60AB" w:rsidRDefault="003B7307" w:rsidP="008471D1">
      <w:pPr>
        <w:pStyle w:val="MainText"/>
        <w:spacing w:after="120" w:line="240" w:lineRule="auto"/>
        <w:ind w:firstLine="357"/>
        <w:rPr>
          <w:rFonts w:ascii="Arial" w:hAnsi="Arial" w:cs="Arial"/>
          <w:szCs w:val="22"/>
        </w:rPr>
      </w:pPr>
      <w:r w:rsidRPr="003B7307">
        <w:rPr>
          <w:rFonts w:ascii="Arial" w:hAnsi="Arial" w:cs="Arial"/>
          <w:b/>
          <w:szCs w:val="22"/>
        </w:rPr>
        <w:t>Option 1 -</w:t>
      </w:r>
      <w:r>
        <w:rPr>
          <w:rFonts w:ascii="Arial" w:hAnsi="Arial" w:cs="Arial"/>
          <w:szCs w:val="22"/>
        </w:rPr>
        <w:t xml:space="preserve"> </w:t>
      </w:r>
      <w:r w:rsidR="002606E7" w:rsidRPr="007B053C">
        <w:rPr>
          <w:rFonts w:ascii="Arial" w:hAnsi="Arial" w:cs="Arial"/>
          <w:b/>
          <w:szCs w:val="22"/>
        </w:rPr>
        <w:t>No change</w:t>
      </w:r>
      <w:r w:rsidR="002606E7" w:rsidRPr="008E60AB">
        <w:rPr>
          <w:rFonts w:ascii="Arial" w:hAnsi="Arial" w:cs="Arial"/>
          <w:szCs w:val="22"/>
        </w:rPr>
        <w:t xml:space="preserve"> </w:t>
      </w:r>
    </w:p>
    <w:p w14:paraId="5977BAEE" w14:textId="77777777" w:rsidR="002606E7" w:rsidRPr="008E60AB" w:rsidRDefault="00944E61" w:rsidP="008471D1">
      <w:pPr>
        <w:numPr>
          <w:ilvl w:val="1"/>
          <w:numId w:val="1"/>
        </w:numPr>
        <w:ind w:left="993" w:hanging="63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Would maintain income </w:t>
      </w:r>
      <w:r w:rsidRPr="000915E7">
        <w:rPr>
          <w:rFonts w:ascii="Arial" w:hAnsi="Arial" w:cs="Arial"/>
          <w:szCs w:val="22"/>
        </w:rPr>
        <w:t xml:space="preserve">at </w:t>
      </w:r>
      <w:r w:rsidRPr="000915E7">
        <w:rPr>
          <w:rFonts w:ascii="Arial" w:hAnsi="Arial" w:cs="Arial"/>
          <w:b/>
          <w:szCs w:val="22"/>
        </w:rPr>
        <w:t>£9.</w:t>
      </w:r>
      <w:r w:rsidR="005E261E" w:rsidRPr="000915E7">
        <w:rPr>
          <w:rFonts w:ascii="Arial" w:hAnsi="Arial" w:cs="Arial"/>
          <w:b/>
          <w:szCs w:val="22"/>
        </w:rPr>
        <w:t>4</w:t>
      </w:r>
      <w:r w:rsidRPr="000915E7">
        <w:rPr>
          <w:rFonts w:ascii="Arial" w:hAnsi="Arial" w:cs="Arial"/>
          <w:b/>
          <w:szCs w:val="22"/>
        </w:rPr>
        <w:t xml:space="preserve"> million</w:t>
      </w:r>
      <w:r w:rsidR="00647B33" w:rsidRPr="000915E7">
        <w:rPr>
          <w:rFonts w:ascii="Arial" w:hAnsi="Arial" w:cs="Arial"/>
          <w:szCs w:val="22"/>
        </w:rPr>
        <w:t xml:space="preserve">, with </w:t>
      </w:r>
      <w:r w:rsidRPr="000915E7">
        <w:rPr>
          <w:rFonts w:ascii="Arial" w:hAnsi="Arial" w:cs="Arial"/>
          <w:szCs w:val="22"/>
        </w:rPr>
        <w:t>£</w:t>
      </w:r>
      <w:r w:rsidR="002075E0" w:rsidRPr="000915E7">
        <w:rPr>
          <w:rFonts w:ascii="Arial" w:hAnsi="Arial" w:cs="Arial"/>
          <w:szCs w:val="22"/>
        </w:rPr>
        <w:t>516</w:t>
      </w:r>
      <w:r w:rsidR="0041779E" w:rsidRPr="000915E7">
        <w:rPr>
          <w:rFonts w:ascii="Arial" w:hAnsi="Arial" w:cs="Arial"/>
          <w:szCs w:val="22"/>
        </w:rPr>
        <w:t>,000</w:t>
      </w:r>
      <w:r>
        <w:rPr>
          <w:rFonts w:ascii="Arial" w:hAnsi="Arial" w:cs="Arial"/>
          <w:szCs w:val="22"/>
        </w:rPr>
        <w:t xml:space="preserve"> at risk </w:t>
      </w:r>
      <w:r w:rsidR="00746D9B">
        <w:rPr>
          <w:rFonts w:ascii="Arial" w:hAnsi="Arial" w:cs="Arial"/>
          <w:szCs w:val="22"/>
        </w:rPr>
        <w:t xml:space="preserve">if the </w:t>
      </w:r>
      <w:r w:rsidR="008D3988">
        <w:rPr>
          <w:rFonts w:ascii="Arial" w:hAnsi="Arial" w:cs="Arial"/>
          <w:szCs w:val="22"/>
        </w:rPr>
        <w:t>seven</w:t>
      </w:r>
      <w:r w:rsidR="00746D9B">
        <w:rPr>
          <w:rFonts w:ascii="Arial" w:hAnsi="Arial" w:cs="Arial"/>
          <w:szCs w:val="22"/>
        </w:rPr>
        <w:t xml:space="preserve"> </w:t>
      </w:r>
      <w:r w:rsidR="00AB28F6">
        <w:rPr>
          <w:rFonts w:ascii="Arial" w:hAnsi="Arial" w:cs="Arial"/>
          <w:szCs w:val="22"/>
        </w:rPr>
        <w:t>member</w:t>
      </w:r>
      <w:r w:rsidR="008D3988">
        <w:rPr>
          <w:rFonts w:ascii="Arial" w:hAnsi="Arial" w:cs="Arial"/>
          <w:szCs w:val="22"/>
        </w:rPr>
        <w:t xml:space="preserve"> authorities</w:t>
      </w:r>
      <w:r>
        <w:rPr>
          <w:rFonts w:ascii="Arial" w:hAnsi="Arial" w:cs="Arial"/>
          <w:szCs w:val="22"/>
        </w:rPr>
        <w:t xml:space="preserve"> currently on notice were to withdraw from membership</w:t>
      </w:r>
      <w:r w:rsidR="007B053C">
        <w:rPr>
          <w:rFonts w:ascii="Arial" w:hAnsi="Arial" w:cs="Arial"/>
          <w:szCs w:val="22"/>
        </w:rPr>
        <w:t xml:space="preserve">. </w:t>
      </w:r>
    </w:p>
    <w:p w14:paraId="5977BAEF" w14:textId="77777777" w:rsidR="002606E7" w:rsidRPr="008E60AB" w:rsidRDefault="002606E7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F0" w14:textId="77777777" w:rsidR="002606E7" w:rsidRPr="007B053C" w:rsidRDefault="003B7307" w:rsidP="008471D1">
      <w:pPr>
        <w:pStyle w:val="MainText"/>
        <w:spacing w:after="120" w:line="240" w:lineRule="auto"/>
        <w:ind w:left="992" w:hanging="6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Option 2 - </w:t>
      </w:r>
      <w:r w:rsidR="00F52FD5">
        <w:rPr>
          <w:rFonts w:ascii="Arial" w:hAnsi="Arial" w:cs="Arial"/>
          <w:b/>
          <w:szCs w:val="22"/>
        </w:rPr>
        <w:t xml:space="preserve">Fixed </w:t>
      </w:r>
      <w:r w:rsidR="007B053C" w:rsidRPr="007B053C">
        <w:rPr>
          <w:rFonts w:ascii="Arial" w:hAnsi="Arial" w:cs="Arial"/>
          <w:b/>
          <w:szCs w:val="22"/>
        </w:rPr>
        <w:t>1%</w:t>
      </w:r>
      <w:r w:rsidR="002606E7" w:rsidRPr="007B053C">
        <w:rPr>
          <w:rFonts w:ascii="Arial" w:hAnsi="Arial" w:cs="Arial"/>
          <w:b/>
          <w:szCs w:val="22"/>
        </w:rPr>
        <w:t xml:space="preserve"> increase</w:t>
      </w:r>
      <w:r w:rsidR="00FF7625">
        <w:rPr>
          <w:rFonts w:ascii="Arial" w:hAnsi="Arial" w:cs="Arial"/>
          <w:b/>
          <w:szCs w:val="22"/>
        </w:rPr>
        <w:t xml:space="preserve"> offset by</w:t>
      </w:r>
      <w:r w:rsidR="00F26674">
        <w:rPr>
          <w:rFonts w:ascii="Arial" w:hAnsi="Arial" w:cs="Arial"/>
          <w:b/>
          <w:szCs w:val="22"/>
        </w:rPr>
        <w:t xml:space="preserve"> corresponding</w:t>
      </w:r>
      <w:r w:rsidR="00FF7625">
        <w:rPr>
          <w:rFonts w:ascii="Arial" w:hAnsi="Arial" w:cs="Arial"/>
          <w:b/>
          <w:szCs w:val="22"/>
        </w:rPr>
        <w:t xml:space="preserve"> increased loyalty discount.</w:t>
      </w:r>
      <w:r w:rsidR="002606E7" w:rsidRPr="007B053C">
        <w:rPr>
          <w:rFonts w:ascii="Arial" w:hAnsi="Arial" w:cs="Arial"/>
          <w:b/>
          <w:szCs w:val="22"/>
        </w:rPr>
        <w:t xml:space="preserve"> </w:t>
      </w:r>
    </w:p>
    <w:p w14:paraId="5977BAF1" w14:textId="77777777" w:rsidR="007B053C" w:rsidRPr="00EF447E" w:rsidRDefault="002D6DE2" w:rsidP="008471D1">
      <w:pPr>
        <w:numPr>
          <w:ilvl w:val="1"/>
          <w:numId w:val="1"/>
        </w:numPr>
        <w:ind w:left="993" w:hanging="633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T</w:t>
      </w:r>
      <w:r w:rsidR="00F26674">
        <w:rPr>
          <w:rFonts w:ascii="Arial" w:hAnsi="Arial" w:cs="Arial"/>
          <w:szCs w:val="22"/>
        </w:rPr>
        <w:t>he increase in subscription w</w:t>
      </w:r>
      <w:r w:rsidR="007B053C">
        <w:rPr>
          <w:rFonts w:ascii="Arial" w:hAnsi="Arial" w:cs="Arial"/>
          <w:szCs w:val="22"/>
        </w:rPr>
        <w:t xml:space="preserve">ould be offset by a corresponding </w:t>
      </w:r>
      <w:r w:rsidR="000C5F70">
        <w:rPr>
          <w:rFonts w:ascii="Arial" w:hAnsi="Arial" w:cs="Arial"/>
          <w:szCs w:val="22"/>
        </w:rPr>
        <w:t>increase in loyalty discount</w:t>
      </w:r>
      <w:r w:rsidR="00F26674">
        <w:rPr>
          <w:rFonts w:ascii="Arial" w:hAnsi="Arial" w:cs="Arial"/>
          <w:szCs w:val="22"/>
        </w:rPr>
        <w:t xml:space="preserve"> so there would be no impact on those councils not on notice</w:t>
      </w:r>
      <w:r w:rsidR="000C5F70">
        <w:rPr>
          <w:rFonts w:ascii="Arial" w:hAnsi="Arial" w:cs="Arial"/>
          <w:szCs w:val="22"/>
        </w:rPr>
        <w:t>. Th</w:t>
      </w:r>
      <w:r w:rsidR="00F26674">
        <w:rPr>
          <w:rFonts w:ascii="Arial" w:hAnsi="Arial" w:cs="Arial"/>
          <w:szCs w:val="22"/>
        </w:rPr>
        <w:t>e benefit</w:t>
      </w:r>
      <w:r w:rsidR="000C5F70">
        <w:rPr>
          <w:rFonts w:ascii="Arial" w:hAnsi="Arial" w:cs="Arial"/>
          <w:szCs w:val="22"/>
        </w:rPr>
        <w:t xml:space="preserve"> would</w:t>
      </w:r>
      <w:r w:rsidR="00A01FD0" w:rsidRPr="00A01FD0">
        <w:rPr>
          <w:rFonts w:ascii="Arial" w:hAnsi="Arial" w:cs="Arial"/>
          <w:szCs w:val="22"/>
        </w:rPr>
        <w:t xml:space="preserve"> </w:t>
      </w:r>
      <w:r w:rsidR="00F26674">
        <w:rPr>
          <w:rFonts w:ascii="Arial" w:hAnsi="Arial" w:cs="Arial"/>
          <w:szCs w:val="22"/>
        </w:rPr>
        <w:t xml:space="preserve">be to </w:t>
      </w:r>
      <w:r w:rsidR="00A01FD0">
        <w:rPr>
          <w:rFonts w:ascii="Arial" w:hAnsi="Arial" w:cs="Arial"/>
          <w:szCs w:val="22"/>
        </w:rPr>
        <w:t>create a greater incentive for councils not to serve notice</w:t>
      </w:r>
      <w:r w:rsidR="007B053C">
        <w:rPr>
          <w:rFonts w:ascii="Arial" w:hAnsi="Arial" w:cs="Arial"/>
          <w:szCs w:val="22"/>
        </w:rPr>
        <w:t xml:space="preserve">. </w:t>
      </w:r>
    </w:p>
    <w:p w14:paraId="5977BAF2" w14:textId="77777777" w:rsidR="007B053C" w:rsidRDefault="007B053C" w:rsidP="002D6DE2">
      <w:pPr>
        <w:pStyle w:val="MainText"/>
        <w:spacing w:line="240" w:lineRule="auto"/>
        <w:ind w:left="1134"/>
        <w:rPr>
          <w:rFonts w:ascii="Arial" w:hAnsi="Arial" w:cs="Arial"/>
          <w:szCs w:val="22"/>
        </w:rPr>
      </w:pPr>
    </w:p>
    <w:p w14:paraId="5977BAF3" w14:textId="77777777" w:rsidR="007B053C" w:rsidRDefault="003B7307" w:rsidP="008471D1">
      <w:pPr>
        <w:pStyle w:val="MainText"/>
        <w:spacing w:after="120" w:line="240" w:lineRule="auto"/>
        <w:ind w:left="425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</w:rPr>
        <w:t xml:space="preserve">Option 3 </w:t>
      </w:r>
      <w:r w:rsidR="00F45FD6">
        <w:rPr>
          <w:rFonts w:ascii="Arial" w:hAnsi="Arial" w:cs="Arial"/>
          <w:b/>
          <w:szCs w:val="22"/>
        </w:rPr>
        <w:t>– % i</w:t>
      </w:r>
      <w:r w:rsidR="00F7259F" w:rsidRPr="002D6DE2">
        <w:rPr>
          <w:rFonts w:ascii="Arial" w:hAnsi="Arial" w:cs="Arial"/>
          <w:b/>
          <w:szCs w:val="22"/>
        </w:rPr>
        <w:t>ncrease</w:t>
      </w:r>
      <w:r w:rsidR="00F7259F">
        <w:rPr>
          <w:rFonts w:ascii="Arial" w:hAnsi="Arial" w:cs="Arial"/>
          <w:b/>
          <w:szCs w:val="22"/>
          <w:lang w:val="en-US"/>
        </w:rPr>
        <w:t xml:space="preserve"> to arrest the </w:t>
      </w:r>
      <w:r w:rsidR="00F45FD6">
        <w:rPr>
          <w:rFonts w:ascii="Arial" w:hAnsi="Arial" w:cs="Arial"/>
          <w:b/>
          <w:szCs w:val="22"/>
          <w:lang w:val="en-US"/>
        </w:rPr>
        <w:t xml:space="preserve">continued </w:t>
      </w:r>
      <w:r w:rsidR="000C322E">
        <w:rPr>
          <w:rFonts w:ascii="Arial" w:hAnsi="Arial" w:cs="Arial"/>
          <w:b/>
          <w:szCs w:val="22"/>
          <w:lang w:val="en-US"/>
        </w:rPr>
        <w:t>real terms</w:t>
      </w:r>
      <w:r w:rsidR="00F7259F">
        <w:rPr>
          <w:rFonts w:ascii="Arial" w:hAnsi="Arial" w:cs="Arial"/>
          <w:b/>
          <w:szCs w:val="22"/>
          <w:lang w:val="en-US"/>
        </w:rPr>
        <w:t xml:space="preserve"> decline in value</w:t>
      </w:r>
    </w:p>
    <w:p w14:paraId="5977BAF4" w14:textId="77777777" w:rsidR="00CE32BA" w:rsidRPr="00DF4407" w:rsidRDefault="000C322E" w:rsidP="008471D1">
      <w:pPr>
        <w:numPr>
          <w:ilvl w:val="1"/>
          <w:numId w:val="1"/>
        </w:numPr>
        <w:ind w:left="993" w:hanging="63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n-US"/>
        </w:rPr>
        <w:t>This would represent a departure from recent practice</w:t>
      </w:r>
      <w:r w:rsidR="00DA1FDB">
        <w:rPr>
          <w:rFonts w:ascii="Arial" w:hAnsi="Arial" w:cs="Arial"/>
          <w:szCs w:val="22"/>
          <w:lang w:val="en-US"/>
        </w:rPr>
        <w:t>. Given the current funding challenges facing councils, this is likely to prove unpopular with our memberships at a time when the political leadership is keen for councils to sign up to the new incorporated Association.</w:t>
      </w:r>
    </w:p>
    <w:p w14:paraId="5977BAF5" w14:textId="77777777" w:rsidR="00CE32BA" w:rsidRPr="00DF4407" w:rsidRDefault="00CE32BA" w:rsidP="002D6DE2">
      <w:pPr>
        <w:pStyle w:val="MainText"/>
        <w:spacing w:line="240" w:lineRule="auto"/>
        <w:ind w:left="1134"/>
        <w:rPr>
          <w:rFonts w:ascii="Arial" w:hAnsi="Arial" w:cs="Arial"/>
          <w:szCs w:val="22"/>
        </w:rPr>
      </w:pPr>
    </w:p>
    <w:p w14:paraId="5977BAF6" w14:textId="77777777" w:rsidR="00A01FD0" w:rsidRPr="00A01FD0" w:rsidRDefault="00A01FD0" w:rsidP="002D6DE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A01FD0">
        <w:rPr>
          <w:rFonts w:ascii="Arial" w:hAnsi="Arial" w:cs="Arial"/>
          <w:b/>
          <w:szCs w:val="22"/>
        </w:rPr>
        <w:t xml:space="preserve">Welsh </w:t>
      </w:r>
      <w:r w:rsidR="00942A4F">
        <w:rPr>
          <w:rFonts w:ascii="Arial" w:hAnsi="Arial" w:cs="Arial"/>
          <w:b/>
          <w:szCs w:val="22"/>
        </w:rPr>
        <w:t xml:space="preserve">LGAs and Fire and Rescue Authorities </w:t>
      </w:r>
    </w:p>
    <w:p w14:paraId="5977BAF7" w14:textId="77777777" w:rsidR="00A01FD0" w:rsidRDefault="00A01FD0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AF8" w14:textId="77777777" w:rsidR="00942A4F" w:rsidRDefault="00354F2E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Blaenau Gwent Council has now formally withdrawn from the WLGA’s corporate subscription and receives no further membership benefits from the LGA</w:t>
      </w:r>
      <w:r w:rsidR="008D3988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Neath Port Talbot did not pay a subscription in 2016/17 but the </w:t>
      </w:r>
      <w:r w:rsidR="00BC642F">
        <w:rPr>
          <w:rFonts w:ascii="Arial" w:hAnsi="Arial" w:cs="Arial"/>
          <w:szCs w:val="22"/>
        </w:rPr>
        <w:t xml:space="preserve">new </w:t>
      </w:r>
      <w:r w:rsidR="00603C79">
        <w:rPr>
          <w:rFonts w:ascii="Arial" w:hAnsi="Arial" w:cs="Arial"/>
          <w:szCs w:val="22"/>
        </w:rPr>
        <w:t>leader had indicated his</w:t>
      </w:r>
      <w:r>
        <w:rPr>
          <w:rFonts w:ascii="Arial" w:hAnsi="Arial" w:cs="Arial"/>
          <w:szCs w:val="22"/>
        </w:rPr>
        <w:t xml:space="preserve"> intention to </w:t>
      </w:r>
      <w:proofErr w:type="spellStart"/>
      <w:r w:rsidR="00BC642F">
        <w:rPr>
          <w:rFonts w:ascii="Arial" w:hAnsi="Arial" w:cs="Arial"/>
          <w:szCs w:val="22"/>
        </w:rPr>
        <w:t>rejoin</w:t>
      </w:r>
      <w:proofErr w:type="spellEnd"/>
      <w:r w:rsidR="00BC642F">
        <w:rPr>
          <w:rFonts w:ascii="Arial" w:hAnsi="Arial" w:cs="Arial"/>
          <w:szCs w:val="22"/>
        </w:rPr>
        <w:t xml:space="preserve"> in 2017/18</w:t>
      </w:r>
      <w:r w:rsidR="00603C79">
        <w:rPr>
          <w:rFonts w:ascii="Arial" w:hAnsi="Arial" w:cs="Arial"/>
          <w:szCs w:val="22"/>
        </w:rPr>
        <w:t xml:space="preserve">. However </w:t>
      </w:r>
      <w:r w:rsidR="00FD2FF4">
        <w:rPr>
          <w:rFonts w:ascii="Arial" w:hAnsi="Arial" w:cs="Arial"/>
          <w:szCs w:val="22"/>
        </w:rPr>
        <w:t xml:space="preserve">despite chasing </w:t>
      </w:r>
      <w:r w:rsidR="00603C79">
        <w:rPr>
          <w:rFonts w:ascii="Arial" w:hAnsi="Arial" w:cs="Arial"/>
          <w:szCs w:val="22"/>
        </w:rPr>
        <w:t xml:space="preserve">no </w:t>
      </w:r>
      <w:r w:rsidR="00BC642F">
        <w:rPr>
          <w:rFonts w:ascii="Arial" w:hAnsi="Arial" w:cs="Arial"/>
          <w:szCs w:val="22"/>
        </w:rPr>
        <w:t>subscription</w:t>
      </w:r>
      <w:r w:rsidR="00603C79">
        <w:rPr>
          <w:rFonts w:ascii="Arial" w:hAnsi="Arial" w:cs="Arial"/>
          <w:szCs w:val="22"/>
        </w:rPr>
        <w:t xml:space="preserve"> has</w:t>
      </w:r>
      <w:r>
        <w:rPr>
          <w:rFonts w:ascii="Arial" w:hAnsi="Arial" w:cs="Arial"/>
          <w:szCs w:val="22"/>
        </w:rPr>
        <w:t xml:space="preserve"> been </w:t>
      </w:r>
      <w:r w:rsidR="00603C79">
        <w:rPr>
          <w:rFonts w:ascii="Arial" w:hAnsi="Arial" w:cs="Arial"/>
          <w:szCs w:val="22"/>
        </w:rPr>
        <w:t>received and</w:t>
      </w:r>
      <w:r w:rsidR="00942A4F">
        <w:rPr>
          <w:rFonts w:ascii="Arial" w:hAnsi="Arial" w:cs="Arial"/>
          <w:szCs w:val="22"/>
        </w:rPr>
        <w:t xml:space="preserve"> </w:t>
      </w:r>
      <w:r w:rsidR="00603C79">
        <w:rPr>
          <w:rFonts w:ascii="Arial" w:hAnsi="Arial" w:cs="Arial"/>
          <w:szCs w:val="22"/>
        </w:rPr>
        <w:t xml:space="preserve">in line with the Constitution, </w:t>
      </w:r>
      <w:r w:rsidR="00942A4F">
        <w:rPr>
          <w:rFonts w:ascii="Arial" w:hAnsi="Arial" w:cs="Arial"/>
          <w:szCs w:val="22"/>
        </w:rPr>
        <w:t xml:space="preserve">all legal and other support </w:t>
      </w:r>
      <w:r w:rsidR="00603C79">
        <w:rPr>
          <w:rFonts w:ascii="Arial" w:hAnsi="Arial" w:cs="Arial"/>
          <w:szCs w:val="22"/>
        </w:rPr>
        <w:t>has now been</w:t>
      </w:r>
      <w:r w:rsidR="00942A4F">
        <w:rPr>
          <w:rFonts w:ascii="Arial" w:hAnsi="Arial" w:cs="Arial"/>
          <w:szCs w:val="22"/>
        </w:rPr>
        <w:t xml:space="preserve"> withdrawn.</w:t>
      </w:r>
      <w:r w:rsidR="00603C79">
        <w:rPr>
          <w:rFonts w:ascii="Arial" w:hAnsi="Arial" w:cs="Arial"/>
          <w:szCs w:val="22"/>
        </w:rPr>
        <w:t xml:space="preserve"> Together these represent a reduction of £19,000</w:t>
      </w:r>
      <w:r w:rsidR="00AD53D6">
        <w:rPr>
          <w:rFonts w:ascii="Arial" w:hAnsi="Arial" w:cs="Arial"/>
          <w:szCs w:val="22"/>
        </w:rPr>
        <w:t xml:space="preserve"> in the Welsh LGA’s corporate subscription</w:t>
      </w:r>
      <w:r w:rsidR="00603C79">
        <w:rPr>
          <w:rFonts w:ascii="Arial" w:hAnsi="Arial" w:cs="Arial"/>
          <w:szCs w:val="22"/>
        </w:rPr>
        <w:t>.</w:t>
      </w:r>
    </w:p>
    <w:p w14:paraId="5977BAF9" w14:textId="77777777" w:rsidR="00942A4F" w:rsidRDefault="00942A4F" w:rsidP="002D6DE2">
      <w:pPr>
        <w:pStyle w:val="MainText"/>
        <w:spacing w:line="240" w:lineRule="auto"/>
        <w:ind w:left="360"/>
        <w:rPr>
          <w:rFonts w:ascii="Arial" w:hAnsi="Arial" w:cs="Arial"/>
          <w:szCs w:val="22"/>
        </w:rPr>
      </w:pPr>
    </w:p>
    <w:p w14:paraId="5977BAFA" w14:textId="77777777" w:rsidR="003206F2" w:rsidRDefault="00BC642F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Whilst the APCC has decided not to enter into a corporate LGA membership on behalf of PCCs nationally, discussions with some PCCs about regional or individual LGA memberships are continuing</w:t>
      </w:r>
      <w:r w:rsidR="005E1D36">
        <w:rPr>
          <w:rFonts w:ascii="Arial" w:hAnsi="Arial" w:cs="Arial"/>
          <w:szCs w:val="22"/>
          <w:lang w:eastAsia="en-US"/>
        </w:rPr>
        <w:t>.</w:t>
      </w:r>
      <w:r>
        <w:rPr>
          <w:rFonts w:ascii="Arial" w:hAnsi="Arial" w:cs="Arial"/>
          <w:szCs w:val="22"/>
          <w:lang w:eastAsia="en-US"/>
        </w:rPr>
        <w:t xml:space="preserve"> For those PCCs who take on responsibility for Fire and Rescue, we would propose that the current FRA subscription is transferred, with an additional </w:t>
      </w:r>
      <w:r w:rsidR="00F26674">
        <w:rPr>
          <w:rFonts w:ascii="Arial" w:hAnsi="Arial" w:cs="Arial"/>
          <w:szCs w:val="22"/>
          <w:lang w:eastAsia="en-US"/>
        </w:rPr>
        <w:t>sum</w:t>
      </w:r>
      <w:r>
        <w:rPr>
          <w:rFonts w:ascii="Arial" w:hAnsi="Arial" w:cs="Arial"/>
          <w:szCs w:val="22"/>
          <w:lang w:eastAsia="en-US"/>
        </w:rPr>
        <w:t xml:space="preserve"> to cover additional PCC specific support. The outcome of discussions will be reported to Leadership Board in due course.</w:t>
      </w:r>
    </w:p>
    <w:p w14:paraId="5977BAFB" w14:textId="77777777" w:rsidR="005E1D36" w:rsidRPr="005E1D36" w:rsidRDefault="005E1D36" w:rsidP="00F374CD">
      <w:pPr>
        <w:pStyle w:val="MainText"/>
        <w:spacing w:line="240" w:lineRule="auto"/>
        <w:rPr>
          <w:rFonts w:ascii="Arial" w:hAnsi="Arial" w:cs="Arial"/>
          <w:szCs w:val="22"/>
          <w:lang w:eastAsia="en-US"/>
        </w:rPr>
      </w:pPr>
    </w:p>
    <w:p w14:paraId="5977BAFC" w14:textId="77777777" w:rsidR="00EF447E" w:rsidRDefault="00EF447E" w:rsidP="002D6DE2">
      <w:pPr>
        <w:pStyle w:val="MainText"/>
        <w:spacing w:line="240" w:lineRule="auto"/>
        <w:ind w:left="567" w:hanging="567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5977BAFD" w14:textId="77777777" w:rsidR="00EF447E" w:rsidRPr="00EF447E" w:rsidRDefault="00EF447E" w:rsidP="002D6DE2">
      <w:pPr>
        <w:pStyle w:val="MainText"/>
        <w:spacing w:line="240" w:lineRule="auto"/>
        <w:ind w:left="567" w:hanging="567"/>
        <w:rPr>
          <w:rFonts w:ascii="Arial" w:hAnsi="Arial" w:cs="Arial"/>
          <w:szCs w:val="22"/>
        </w:rPr>
      </w:pPr>
    </w:p>
    <w:p w14:paraId="5977BAFE" w14:textId="77777777" w:rsidR="00EF447E" w:rsidRDefault="00EF447E" w:rsidP="002D6DE2">
      <w:pPr>
        <w:pStyle w:val="Main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EF447E">
        <w:rPr>
          <w:rFonts w:ascii="Arial" w:hAnsi="Arial" w:cs="Arial"/>
          <w:szCs w:val="22"/>
        </w:rPr>
        <w:t>Members</w:t>
      </w:r>
      <w:r>
        <w:rPr>
          <w:rFonts w:ascii="Arial" w:hAnsi="Arial" w:cs="Arial"/>
          <w:szCs w:val="22"/>
        </w:rPr>
        <w:t xml:space="preserve"> are invited to consider</w:t>
      </w:r>
      <w:r w:rsidR="001B6AAE">
        <w:rPr>
          <w:rFonts w:ascii="Arial" w:hAnsi="Arial" w:cs="Arial"/>
          <w:szCs w:val="22"/>
        </w:rPr>
        <w:t xml:space="preserve"> whether they wish to</w:t>
      </w:r>
    </w:p>
    <w:p w14:paraId="5977BAFF" w14:textId="77777777" w:rsidR="00EF447E" w:rsidRDefault="00EF447E" w:rsidP="002D6DE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77BB00" w14:textId="77777777" w:rsidR="001B6AAE" w:rsidRDefault="00D70565" w:rsidP="002D6DE2">
      <w:pPr>
        <w:pStyle w:val="MainText"/>
        <w:spacing w:line="240" w:lineRule="auto"/>
        <w:ind w:left="993" w:hanging="63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</w:t>
      </w:r>
      <w:r w:rsidR="00EF447E">
        <w:rPr>
          <w:rFonts w:ascii="Arial" w:hAnsi="Arial" w:cs="Arial"/>
          <w:szCs w:val="22"/>
        </w:rPr>
        <w:t xml:space="preserve">.1 </w:t>
      </w:r>
      <w:r w:rsidR="00EF447E">
        <w:rPr>
          <w:rFonts w:ascii="Arial" w:hAnsi="Arial" w:cs="Arial"/>
          <w:szCs w:val="22"/>
        </w:rPr>
        <w:tab/>
        <w:t>hold subscriptions at current levels</w:t>
      </w:r>
      <w:r w:rsidR="00D34812">
        <w:rPr>
          <w:rFonts w:ascii="Arial" w:hAnsi="Arial" w:cs="Arial"/>
          <w:szCs w:val="22"/>
        </w:rPr>
        <w:t>; o</w:t>
      </w:r>
      <w:r w:rsidR="008471D1">
        <w:rPr>
          <w:rFonts w:ascii="Arial" w:hAnsi="Arial" w:cs="Arial"/>
          <w:szCs w:val="22"/>
        </w:rPr>
        <w:t>r</w:t>
      </w:r>
    </w:p>
    <w:p w14:paraId="5977BB01" w14:textId="77777777" w:rsidR="00EF447E" w:rsidRDefault="00D70565" w:rsidP="002D6DE2">
      <w:pPr>
        <w:pStyle w:val="MainText"/>
        <w:spacing w:line="240" w:lineRule="auto"/>
        <w:ind w:left="993" w:hanging="63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</w:t>
      </w:r>
      <w:r w:rsidR="001B6AAE">
        <w:rPr>
          <w:rFonts w:ascii="Arial" w:hAnsi="Arial" w:cs="Arial"/>
          <w:szCs w:val="22"/>
        </w:rPr>
        <w:t>.2</w:t>
      </w:r>
      <w:r w:rsidR="001B6AAE">
        <w:rPr>
          <w:rFonts w:ascii="Arial" w:hAnsi="Arial" w:cs="Arial"/>
          <w:szCs w:val="22"/>
        </w:rPr>
        <w:tab/>
      </w:r>
      <w:r w:rsidR="00EF447E">
        <w:rPr>
          <w:rFonts w:ascii="Arial" w:hAnsi="Arial" w:cs="Arial"/>
          <w:szCs w:val="22"/>
        </w:rPr>
        <w:t xml:space="preserve">increase </w:t>
      </w:r>
      <w:r w:rsidR="00F45FD6">
        <w:rPr>
          <w:rFonts w:ascii="Arial" w:hAnsi="Arial" w:cs="Arial"/>
          <w:szCs w:val="22"/>
        </w:rPr>
        <w:t>either with or without</w:t>
      </w:r>
      <w:r w:rsidR="00FF58FB">
        <w:rPr>
          <w:rFonts w:ascii="Arial" w:hAnsi="Arial" w:cs="Arial"/>
          <w:szCs w:val="22"/>
        </w:rPr>
        <w:t xml:space="preserve"> a corresponding increase in loyalty discount</w:t>
      </w:r>
      <w:r w:rsidR="00635AFF">
        <w:rPr>
          <w:rFonts w:ascii="Arial" w:hAnsi="Arial" w:cs="Arial"/>
          <w:szCs w:val="22"/>
        </w:rPr>
        <w:t>.</w:t>
      </w:r>
    </w:p>
    <w:p w14:paraId="5977BB02" w14:textId="77777777" w:rsidR="00BF78CB" w:rsidRPr="00E740F2" w:rsidRDefault="00BF78CB" w:rsidP="002D6DE2">
      <w:pPr>
        <w:pStyle w:val="MainText"/>
        <w:spacing w:line="240" w:lineRule="auto"/>
        <w:ind w:left="567"/>
        <w:jc w:val="right"/>
        <w:rPr>
          <w:rFonts w:ascii="Arial" w:hAnsi="Arial" w:cs="Arial"/>
          <w:b/>
          <w:szCs w:val="22"/>
        </w:rPr>
      </w:pPr>
    </w:p>
    <w:p w14:paraId="5977BB03" w14:textId="77777777" w:rsidR="00BC642F" w:rsidRDefault="00BC64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977BB04" w14:textId="77777777" w:rsidR="002F05E0" w:rsidRPr="00D34812" w:rsidRDefault="00D34812" w:rsidP="002F05E0">
      <w:pPr>
        <w:spacing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Appendix A: </w:t>
      </w:r>
      <w:r w:rsidR="004002F0" w:rsidRPr="00D34812">
        <w:rPr>
          <w:rFonts w:ascii="Arial" w:hAnsi="Arial" w:cs="Arial"/>
          <w:b/>
          <w:sz w:val="28"/>
          <w:szCs w:val="28"/>
        </w:rPr>
        <w:t>LGA s</w:t>
      </w:r>
      <w:r w:rsidR="002F05E0" w:rsidRPr="00D34812">
        <w:rPr>
          <w:rFonts w:ascii="Arial" w:hAnsi="Arial" w:cs="Arial"/>
          <w:b/>
          <w:sz w:val="28"/>
          <w:szCs w:val="28"/>
        </w:rPr>
        <w:t xml:space="preserve">ubscription </w:t>
      </w:r>
      <w:r w:rsidR="004002F0" w:rsidRPr="00D34812">
        <w:rPr>
          <w:rFonts w:ascii="Arial" w:hAnsi="Arial" w:cs="Arial"/>
          <w:b/>
          <w:sz w:val="28"/>
          <w:szCs w:val="28"/>
        </w:rPr>
        <w:t>calculations</w:t>
      </w:r>
      <w:r w:rsidR="002F05E0" w:rsidRPr="00D34812">
        <w:rPr>
          <w:rFonts w:ascii="Arial" w:hAnsi="Arial" w:cs="Arial"/>
          <w:b/>
          <w:sz w:val="28"/>
          <w:szCs w:val="28"/>
        </w:rPr>
        <w:t xml:space="preserve"> </w:t>
      </w:r>
    </w:p>
    <w:p w14:paraId="5977BB05" w14:textId="77777777" w:rsidR="002F05E0" w:rsidRPr="008E60AB" w:rsidRDefault="002F05E0" w:rsidP="002F05E0">
      <w:pPr>
        <w:spacing w:line="280" w:lineRule="exac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854"/>
      </w:tblGrid>
      <w:tr w:rsidR="002F05E0" w:rsidRPr="008E60AB" w14:paraId="5977BB08" w14:textId="77777777" w:rsidTr="00A85788">
        <w:tc>
          <w:tcPr>
            <w:tcW w:w="2207" w:type="dxa"/>
            <w:shd w:val="clear" w:color="auto" w:fill="auto"/>
          </w:tcPr>
          <w:p w14:paraId="5977BB06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Type of authority</w:t>
            </w:r>
          </w:p>
        </w:tc>
        <w:tc>
          <w:tcPr>
            <w:tcW w:w="6854" w:type="dxa"/>
            <w:shd w:val="clear" w:color="auto" w:fill="auto"/>
          </w:tcPr>
          <w:p w14:paraId="5977BB07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8E60AB">
              <w:rPr>
                <w:rFonts w:ascii="Arial" w:hAnsi="Arial" w:cs="Arial"/>
                <w:b/>
                <w:szCs w:val="22"/>
              </w:rPr>
              <w:t>Subscription</w:t>
            </w:r>
          </w:p>
        </w:tc>
      </w:tr>
      <w:tr w:rsidR="002F05E0" w:rsidRPr="008E60AB" w14:paraId="5977BB0B" w14:textId="77777777" w:rsidTr="00A85788">
        <w:tc>
          <w:tcPr>
            <w:tcW w:w="2207" w:type="dxa"/>
            <w:shd w:val="clear" w:color="auto" w:fill="auto"/>
          </w:tcPr>
          <w:p w14:paraId="5977BB09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Shire District</w:t>
            </w:r>
          </w:p>
        </w:tc>
        <w:tc>
          <w:tcPr>
            <w:tcW w:w="6854" w:type="dxa"/>
            <w:shd w:val="clear" w:color="auto" w:fill="auto"/>
          </w:tcPr>
          <w:p w14:paraId="5977BB0A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basic subscription of £11,000, subject to a discount of £100 for every 1,000 population below 105,000</w:t>
            </w:r>
          </w:p>
        </w:tc>
      </w:tr>
      <w:tr w:rsidR="002F05E0" w:rsidRPr="008E60AB" w14:paraId="5977BB14" w14:textId="77777777" w:rsidTr="00A85788">
        <w:tc>
          <w:tcPr>
            <w:tcW w:w="2207" w:type="dxa"/>
            <w:shd w:val="clear" w:color="auto" w:fill="auto"/>
          </w:tcPr>
          <w:p w14:paraId="5977BB0C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Single Tier and County Councils</w:t>
            </w:r>
          </w:p>
        </w:tc>
        <w:tc>
          <w:tcPr>
            <w:tcW w:w="6854" w:type="dxa"/>
            <w:shd w:val="clear" w:color="auto" w:fill="auto"/>
          </w:tcPr>
          <w:p w14:paraId="5977BB0D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basic subscription of £82,000, subject to:</w:t>
            </w:r>
          </w:p>
          <w:p w14:paraId="5977BB0E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supplement of £80 for every 1,000 population above 400,000</w:t>
            </w:r>
          </w:p>
          <w:p w14:paraId="5977BB0F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discount of £200 for every 1,000 population below 400,000</w:t>
            </w:r>
          </w:p>
          <w:p w14:paraId="5977BB10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an additional discount of £37,000 for smaller counties in two-tier areas – withdrawn at £250 per 1,000 population above 850,000</w:t>
            </w:r>
          </w:p>
          <w:p w14:paraId="5977BB11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maximum subscription of £112,500</w:t>
            </w:r>
          </w:p>
          <w:p w14:paraId="5977BB12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normal minimum subscription of £22,000; but</w:t>
            </w:r>
          </w:p>
          <w:p w14:paraId="5977BB13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 xml:space="preserve">in the cases of the Isles of Scilly and Rutland County Council, subscriptions calculated so as to give an average per resident equal to that for other non-metropolitan unitary authorities. </w:t>
            </w:r>
          </w:p>
        </w:tc>
      </w:tr>
      <w:tr w:rsidR="002F05E0" w:rsidRPr="008E60AB" w14:paraId="5977BB17" w14:textId="77777777" w:rsidTr="00A85788">
        <w:tc>
          <w:tcPr>
            <w:tcW w:w="2207" w:type="dxa"/>
            <w:shd w:val="clear" w:color="auto" w:fill="auto"/>
          </w:tcPr>
          <w:p w14:paraId="5977BB15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Welsh LGA</w:t>
            </w:r>
          </w:p>
        </w:tc>
        <w:tc>
          <w:tcPr>
            <w:tcW w:w="6854" w:type="dxa"/>
            <w:shd w:val="clear" w:color="auto" w:fill="auto"/>
          </w:tcPr>
          <w:p w14:paraId="5977BB16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corporate subscription of 40% the average per resident subscription for non-metropolitan unitary authorities calculated as above, multiplied by the population of Wales.</w:t>
            </w:r>
          </w:p>
        </w:tc>
      </w:tr>
      <w:tr w:rsidR="002F05E0" w:rsidRPr="008E60AB" w14:paraId="5977BB1B" w14:textId="77777777" w:rsidTr="00A85788">
        <w:tc>
          <w:tcPr>
            <w:tcW w:w="2207" w:type="dxa"/>
            <w:shd w:val="clear" w:color="auto" w:fill="auto"/>
          </w:tcPr>
          <w:p w14:paraId="5977BB18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Non-metropolitan unitary Councils</w:t>
            </w:r>
            <w:r w:rsidR="005D2B23">
              <w:rPr>
                <w:rFonts w:ascii="Arial" w:hAnsi="Arial" w:cs="Arial"/>
                <w:szCs w:val="22"/>
              </w:rPr>
              <w:t xml:space="preserve"> (formerly in ADC membership)</w:t>
            </w:r>
            <w:r w:rsidRPr="008E60A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14:paraId="5977BB19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An additional discount of 1.5% of the subscription calculated as above and:</w:t>
            </w:r>
          </w:p>
          <w:p w14:paraId="5977BB1A" w14:textId="77777777" w:rsidR="002F05E0" w:rsidRPr="008E60AB" w:rsidRDefault="002F05E0" w:rsidP="002F05E0">
            <w:pPr>
              <w:numPr>
                <w:ilvl w:val="0"/>
                <w:numId w:val="2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continuing transitional protection for two non-metropolitan unitary authorities that would otherwise pay higher subscriptions than in 2011–12, covering the additional amount that would otherwise be payable in the absence of the new 1.5% discount</w:t>
            </w:r>
          </w:p>
        </w:tc>
      </w:tr>
      <w:tr w:rsidR="002F05E0" w:rsidRPr="008E60AB" w14:paraId="5977BB1F" w14:textId="77777777" w:rsidTr="00A85788">
        <w:tc>
          <w:tcPr>
            <w:tcW w:w="2207" w:type="dxa"/>
            <w:shd w:val="clear" w:color="auto" w:fill="auto"/>
          </w:tcPr>
          <w:p w14:paraId="5977BB1C" w14:textId="77777777" w:rsidR="002F05E0" w:rsidRPr="008E60AB" w:rsidRDefault="002F05E0" w:rsidP="008E0E8F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 xml:space="preserve">Metropolitan District Councils, London Boroughs and the City </w:t>
            </w:r>
            <w:r w:rsidR="008E0E8F">
              <w:rPr>
                <w:rFonts w:ascii="Arial" w:hAnsi="Arial" w:cs="Arial"/>
                <w:szCs w:val="22"/>
              </w:rPr>
              <w:t>of London</w:t>
            </w:r>
          </w:p>
        </w:tc>
        <w:tc>
          <w:tcPr>
            <w:tcW w:w="6854" w:type="dxa"/>
            <w:shd w:val="clear" w:color="auto" w:fill="auto"/>
          </w:tcPr>
          <w:p w14:paraId="5977BB1D" w14:textId="77777777" w:rsidR="00EB3E36" w:rsidRDefault="00EB3E36" w:rsidP="00D72B07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 for single tier authorities (above) but subject to</w:t>
            </w:r>
          </w:p>
          <w:p w14:paraId="5977BB1E" w14:textId="77777777" w:rsidR="002F05E0" w:rsidRPr="00EB3E36" w:rsidRDefault="00EB3E36" w:rsidP="00EB3E36">
            <w:pPr>
              <w:numPr>
                <w:ilvl w:val="0"/>
                <w:numId w:val="37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2F05E0" w:rsidRPr="00EB3E36">
              <w:rPr>
                <w:rFonts w:ascii="Arial" w:hAnsi="Arial" w:cs="Arial"/>
                <w:szCs w:val="22"/>
              </w:rPr>
              <w:t xml:space="preserve">iscount </w:t>
            </w:r>
            <w:r w:rsidR="00D72B07" w:rsidRPr="00EB3E36">
              <w:rPr>
                <w:rFonts w:ascii="Arial" w:hAnsi="Arial" w:cs="Arial"/>
                <w:szCs w:val="22"/>
              </w:rPr>
              <w:t>of</w:t>
            </w:r>
            <w:r w:rsidR="002F05E0" w:rsidRPr="00EB3E36">
              <w:rPr>
                <w:rFonts w:ascii="Arial" w:hAnsi="Arial" w:cs="Arial"/>
                <w:szCs w:val="22"/>
              </w:rPr>
              <w:t xml:space="preserve"> £7,965</w:t>
            </w:r>
            <w:r w:rsidR="005D2B23" w:rsidRPr="00EB3E36">
              <w:rPr>
                <w:rFonts w:ascii="Arial" w:hAnsi="Arial" w:cs="Arial"/>
                <w:szCs w:val="22"/>
              </w:rPr>
              <w:t xml:space="preserve"> in recognition of interest-free investment in Local Government House</w:t>
            </w:r>
            <w:r>
              <w:rPr>
                <w:rFonts w:ascii="Arial" w:hAnsi="Arial" w:cs="Arial"/>
                <w:szCs w:val="22"/>
              </w:rPr>
              <w:t xml:space="preserve"> by the former AMA</w:t>
            </w:r>
            <w:r w:rsidR="005D2B23" w:rsidRPr="00EB3E36">
              <w:rPr>
                <w:rFonts w:ascii="Arial" w:hAnsi="Arial" w:cs="Arial"/>
                <w:szCs w:val="22"/>
              </w:rPr>
              <w:t>.</w:t>
            </w:r>
            <w:r w:rsidR="002F05E0" w:rsidRPr="00EB3E36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2F05E0" w:rsidRPr="008E60AB" w14:paraId="5977BB24" w14:textId="77777777" w:rsidTr="00A85788">
        <w:tc>
          <w:tcPr>
            <w:tcW w:w="2207" w:type="dxa"/>
            <w:shd w:val="clear" w:color="auto" w:fill="auto"/>
          </w:tcPr>
          <w:p w14:paraId="5977BB20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Fire authorities</w:t>
            </w:r>
          </w:p>
        </w:tc>
        <w:tc>
          <w:tcPr>
            <w:tcW w:w="6854" w:type="dxa"/>
            <w:shd w:val="clear" w:color="auto" w:fill="auto"/>
          </w:tcPr>
          <w:p w14:paraId="5977BB21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basic subscription of £9,950 subject to:</w:t>
            </w:r>
          </w:p>
          <w:p w14:paraId="5977BB22" w14:textId="77777777" w:rsidR="002F05E0" w:rsidRPr="008E60AB" w:rsidRDefault="002F05E0" w:rsidP="002F05E0">
            <w:pPr>
              <w:numPr>
                <w:ilvl w:val="0"/>
                <w:numId w:val="22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supplement of £3.00 for every 1,000 population over 1 million</w:t>
            </w:r>
          </w:p>
          <w:p w14:paraId="5977BB23" w14:textId="77777777" w:rsidR="002F05E0" w:rsidRPr="008E60AB" w:rsidRDefault="002F05E0" w:rsidP="002F05E0">
            <w:pPr>
              <w:numPr>
                <w:ilvl w:val="0"/>
                <w:numId w:val="22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 discount of £7.25 for every 1,000 population below 1 million</w:t>
            </w:r>
          </w:p>
        </w:tc>
      </w:tr>
      <w:tr w:rsidR="002F05E0" w:rsidRPr="008E60AB" w14:paraId="5977BB27" w14:textId="77777777" w:rsidTr="00A85788">
        <w:tc>
          <w:tcPr>
            <w:tcW w:w="2207" w:type="dxa"/>
            <w:shd w:val="clear" w:color="auto" w:fill="auto"/>
          </w:tcPr>
          <w:p w14:paraId="5977BB25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Town and Parish councils</w:t>
            </w:r>
          </w:p>
        </w:tc>
        <w:tc>
          <w:tcPr>
            <w:tcW w:w="6854" w:type="dxa"/>
            <w:shd w:val="clear" w:color="auto" w:fill="auto"/>
          </w:tcPr>
          <w:p w14:paraId="5977BB26" w14:textId="77777777" w:rsidR="002F05E0" w:rsidRPr="008E60AB" w:rsidRDefault="00655836" w:rsidP="00BC642F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Single corporate subscription of £</w:t>
            </w:r>
            <w:r w:rsidR="00BC642F">
              <w:rPr>
                <w:rFonts w:ascii="Arial" w:hAnsi="Arial" w:cs="Arial"/>
                <w:szCs w:val="22"/>
              </w:rPr>
              <w:t>2,375</w:t>
            </w:r>
            <w:r>
              <w:rPr>
                <w:rFonts w:ascii="Arial" w:hAnsi="Arial" w:cs="Arial"/>
                <w:szCs w:val="22"/>
              </w:rPr>
              <w:t xml:space="preserve"> via National Association of Local Councils</w:t>
            </w:r>
            <w:r w:rsidR="00BC642F">
              <w:rPr>
                <w:rFonts w:ascii="Arial" w:hAnsi="Arial" w:cs="Arial"/>
                <w:szCs w:val="22"/>
              </w:rPr>
              <w:t xml:space="preserve"> for 5 larger town and parish councils</w:t>
            </w:r>
          </w:p>
        </w:tc>
      </w:tr>
      <w:tr w:rsidR="002F05E0" w:rsidRPr="008E60AB" w14:paraId="5977BB2A" w14:textId="77777777" w:rsidTr="00A85788">
        <w:tc>
          <w:tcPr>
            <w:tcW w:w="2207" w:type="dxa"/>
            <w:shd w:val="clear" w:color="auto" w:fill="auto"/>
          </w:tcPr>
          <w:p w14:paraId="5977BB28" w14:textId="77777777" w:rsidR="002F05E0" w:rsidRPr="008E60AB" w:rsidRDefault="002F05E0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>All authorities</w:t>
            </w:r>
          </w:p>
        </w:tc>
        <w:tc>
          <w:tcPr>
            <w:tcW w:w="6854" w:type="dxa"/>
            <w:shd w:val="clear" w:color="auto" w:fill="auto"/>
          </w:tcPr>
          <w:p w14:paraId="5977BB29" w14:textId="77777777" w:rsidR="002F05E0" w:rsidRPr="008E60AB" w:rsidRDefault="002F05E0" w:rsidP="0041779E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8E60AB">
              <w:rPr>
                <w:rFonts w:ascii="Arial" w:hAnsi="Arial" w:cs="Arial"/>
                <w:szCs w:val="22"/>
              </w:rPr>
              <w:t xml:space="preserve">A prompt payment discount of 2.5% on subscriptions paid on or before 30 June </w:t>
            </w:r>
            <w:r w:rsidR="0041779E">
              <w:rPr>
                <w:rFonts w:ascii="Arial" w:hAnsi="Arial" w:cs="Arial"/>
                <w:szCs w:val="22"/>
              </w:rPr>
              <w:t xml:space="preserve">in the membership year </w:t>
            </w:r>
          </w:p>
        </w:tc>
      </w:tr>
      <w:tr w:rsidR="00A85788" w:rsidRPr="008E60AB" w14:paraId="5977BB2D" w14:textId="77777777" w:rsidTr="00A85788">
        <w:tc>
          <w:tcPr>
            <w:tcW w:w="2207" w:type="dxa"/>
            <w:shd w:val="clear" w:color="auto" w:fill="auto"/>
          </w:tcPr>
          <w:p w14:paraId="5977BB2B" w14:textId="77777777" w:rsidR="00A85788" w:rsidRPr="008E60AB" w:rsidRDefault="00A85788" w:rsidP="002F05E0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Associate members</w:t>
            </w:r>
          </w:p>
        </w:tc>
        <w:tc>
          <w:tcPr>
            <w:tcW w:w="6854" w:type="dxa"/>
            <w:shd w:val="clear" w:color="auto" w:fill="auto"/>
          </w:tcPr>
          <w:p w14:paraId="5977BB2C" w14:textId="77777777" w:rsidR="00A85788" w:rsidRPr="008E60AB" w:rsidRDefault="00A85788" w:rsidP="00A85788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Subscriptions calculated according to size of organisation and level of support offered.</w:t>
            </w:r>
          </w:p>
        </w:tc>
      </w:tr>
    </w:tbl>
    <w:p w14:paraId="5977BB2E" w14:textId="77777777" w:rsidR="002F05E0" w:rsidRPr="008E60AB" w:rsidRDefault="002F05E0" w:rsidP="002F05E0">
      <w:pPr>
        <w:rPr>
          <w:szCs w:val="22"/>
        </w:rPr>
      </w:pPr>
    </w:p>
    <w:p w14:paraId="5977BB2F" w14:textId="77777777" w:rsidR="009C62D6" w:rsidRDefault="002F05E0" w:rsidP="002F05E0">
      <w:pPr>
        <w:rPr>
          <w:rFonts w:ascii="Arial" w:hAnsi="Arial" w:cs="Arial"/>
          <w:szCs w:val="22"/>
        </w:rPr>
      </w:pPr>
      <w:r w:rsidRPr="008E60AB">
        <w:rPr>
          <w:rFonts w:ascii="Arial" w:hAnsi="Arial" w:cs="Arial"/>
          <w:szCs w:val="22"/>
        </w:rPr>
        <w:t>References to populations are to Off</w:t>
      </w:r>
      <w:r w:rsidR="00872BFA" w:rsidRPr="008E60AB">
        <w:rPr>
          <w:rFonts w:ascii="Arial" w:hAnsi="Arial" w:cs="Arial"/>
          <w:szCs w:val="22"/>
        </w:rPr>
        <w:t xml:space="preserve">ice of National Statistics </w:t>
      </w:r>
      <w:r w:rsidR="00B07F73" w:rsidRPr="008E60AB">
        <w:rPr>
          <w:rFonts w:ascii="Arial" w:hAnsi="Arial" w:cs="Arial"/>
          <w:szCs w:val="22"/>
        </w:rPr>
        <w:t>mid-year e</w:t>
      </w:r>
      <w:r w:rsidRPr="008E60AB">
        <w:rPr>
          <w:rFonts w:ascii="Arial" w:hAnsi="Arial" w:cs="Arial"/>
          <w:szCs w:val="22"/>
        </w:rPr>
        <w:t>stimates.</w:t>
      </w:r>
    </w:p>
    <w:p w14:paraId="5977BB30" w14:textId="77777777" w:rsidR="007E06C7" w:rsidRPr="00FF7625" w:rsidRDefault="00215200" w:rsidP="00215200">
      <w:pPr>
        <w:jc w:val="right"/>
        <w:rPr>
          <w:rFonts w:ascii="Arial" w:hAnsi="Arial" w:cs="Arial"/>
          <w:b/>
          <w:szCs w:val="22"/>
          <w:highlight w:val="yellow"/>
        </w:rPr>
      </w:pPr>
      <w:r w:rsidRPr="00FF7625">
        <w:rPr>
          <w:rFonts w:ascii="Arial" w:hAnsi="Arial" w:cs="Arial"/>
          <w:b/>
          <w:szCs w:val="22"/>
          <w:highlight w:val="yellow"/>
        </w:rPr>
        <w:t xml:space="preserve"> </w:t>
      </w:r>
    </w:p>
    <w:p w14:paraId="5977BB31" w14:textId="77777777" w:rsidR="007E06C7" w:rsidRDefault="007E06C7" w:rsidP="002F05E0">
      <w:pPr>
        <w:rPr>
          <w:rFonts w:ascii="Arial" w:hAnsi="Arial" w:cs="Arial"/>
          <w:b/>
          <w:szCs w:val="22"/>
        </w:rPr>
      </w:pPr>
    </w:p>
    <w:sectPr w:rsidR="007E06C7" w:rsidSect="007C2BC2">
      <w:pgSz w:w="11907" w:h="16840" w:code="9"/>
      <w:pgMar w:top="1418" w:right="1418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BB34" w14:textId="77777777" w:rsidR="003953DA" w:rsidRDefault="003953DA">
      <w:r>
        <w:separator/>
      </w:r>
    </w:p>
  </w:endnote>
  <w:endnote w:type="continuationSeparator" w:id="0">
    <w:p w14:paraId="5977BB35" w14:textId="77777777" w:rsidR="003953DA" w:rsidRDefault="003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BB40" w14:textId="77777777" w:rsidR="00EC2D0B" w:rsidRDefault="00EC2D0B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BB32" w14:textId="77777777" w:rsidR="003953DA" w:rsidRDefault="003953DA">
      <w:r>
        <w:separator/>
      </w:r>
    </w:p>
  </w:footnote>
  <w:footnote w:type="continuationSeparator" w:id="0">
    <w:p w14:paraId="5977BB33" w14:textId="77777777" w:rsidR="003953DA" w:rsidRDefault="0039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39"/>
      <w:gridCol w:w="3432"/>
    </w:tblGrid>
    <w:tr w:rsidR="00EC2D0B" w14:paraId="5977BB38" w14:textId="77777777" w:rsidTr="0079133C">
      <w:tc>
        <w:tcPr>
          <w:tcW w:w="5778" w:type="dxa"/>
          <w:vMerge w:val="restart"/>
        </w:tcPr>
        <w:p w14:paraId="5977BB36" w14:textId="77777777" w:rsidR="00EC2D0B" w:rsidRPr="00506E39" w:rsidRDefault="00EC2D0B">
          <w:pPr>
            <w:pStyle w:val="Header"/>
            <w:rPr>
              <w:szCs w:val="22"/>
            </w:rPr>
          </w:pPr>
          <w:r w:rsidRPr="00506E3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5977BB4E" wp14:editId="5977BB4F">
                <wp:extent cx="1086485" cy="642620"/>
                <wp:effectExtent l="0" t="0" r="5715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5977BB37" w14:textId="77777777" w:rsidR="00EC2D0B" w:rsidRPr="00506E39" w:rsidRDefault="00EC2D0B" w:rsidP="009C44E5">
          <w:pPr>
            <w:pStyle w:val="Header"/>
            <w:rPr>
              <w:b/>
              <w:szCs w:val="22"/>
            </w:rPr>
          </w:pPr>
          <w:r w:rsidRPr="00506E39"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EC2D0B" w14:paraId="5977BB3B" w14:textId="77777777" w:rsidTr="0079133C">
      <w:trPr>
        <w:trHeight w:val="450"/>
      </w:trPr>
      <w:tc>
        <w:tcPr>
          <w:tcW w:w="5778" w:type="dxa"/>
          <w:vMerge/>
        </w:tcPr>
        <w:p w14:paraId="5977BB39" w14:textId="77777777" w:rsidR="00EC2D0B" w:rsidRPr="00506E39" w:rsidRDefault="00EC2D0B">
          <w:pPr>
            <w:pStyle w:val="Header"/>
            <w:rPr>
              <w:szCs w:val="22"/>
            </w:rPr>
          </w:pPr>
        </w:p>
      </w:tc>
      <w:tc>
        <w:tcPr>
          <w:tcW w:w="3509" w:type="dxa"/>
        </w:tcPr>
        <w:p w14:paraId="5977BB3A" w14:textId="77777777" w:rsidR="00EC2D0B" w:rsidRPr="00506E39" w:rsidRDefault="00EC2D0B" w:rsidP="0079133C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 October 2017</w:t>
          </w:r>
        </w:p>
      </w:tc>
    </w:tr>
    <w:tr w:rsidR="00EC2D0B" w14:paraId="5977BB3E" w14:textId="77777777" w:rsidTr="0079133C">
      <w:trPr>
        <w:trHeight w:val="450"/>
      </w:trPr>
      <w:tc>
        <w:tcPr>
          <w:tcW w:w="5778" w:type="dxa"/>
          <w:vMerge/>
        </w:tcPr>
        <w:p w14:paraId="5977BB3C" w14:textId="77777777" w:rsidR="00EC2D0B" w:rsidRPr="00506E39" w:rsidRDefault="00EC2D0B">
          <w:pPr>
            <w:pStyle w:val="Header"/>
            <w:rPr>
              <w:szCs w:val="22"/>
            </w:rPr>
          </w:pPr>
        </w:p>
      </w:tc>
      <w:tc>
        <w:tcPr>
          <w:tcW w:w="3509" w:type="dxa"/>
          <w:vAlign w:val="bottom"/>
        </w:tcPr>
        <w:p w14:paraId="5977BB3D" w14:textId="77777777" w:rsidR="00EC2D0B" w:rsidRPr="00506E39" w:rsidRDefault="00EC2D0B" w:rsidP="00E740F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5977BB3F" w14:textId="77777777" w:rsidR="00EC2D0B" w:rsidRDefault="00EC2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BB41" w14:textId="77777777" w:rsidR="00EC2D0B" w:rsidRDefault="00EC2D0B" w:rsidP="00E64FBC">
    <w:pPr>
      <w:pStyle w:val="Header"/>
      <w:rPr>
        <w:sz w:val="2"/>
      </w:rPr>
    </w:pPr>
  </w:p>
  <w:p w14:paraId="5977BB42" w14:textId="77777777" w:rsidR="00EC2D0B" w:rsidRDefault="00EC2D0B" w:rsidP="00E64FBC">
    <w:pPr>
      <w:pStyle w:val="Header"/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912"/>
      <w:gridCol w:w="3159"/>
    </w:tblGrid>
    <w:tr w:rsidR="00EC2D0B" w:rsidRPr="0079133C" w14:paraId="5977BB45" w14:textId="77777777" w:rsidTr="0079133C">
      <w:tc>
        <w:tcPr>
          <w:tcW w:w="6062" w:type="dxa"/>
          <w:vMerge w:val="restart"/>
        </w:tcPr>
        <w:p w14:paraId="5977BB43" w14:textId="77777777" w:rsidR="00EC2D0B" w:rsidRPr="00506E39" w:rsidRDefault="00EC2D0B" w:rsidP="0079133C">
          <w:pPr>
            <w:pStyle w:val="Header"/>
            <w:tabs>
              <w:tab w:val="clear" w:pos="4153"/>
              <w:tab w:val="clear" w:pos="8306"/>
              <w:tab w:val="center" w:pos="2923"/>
            </w:tabs>
            <w:rPr>
              <w:szCs w:val="22"/>
            </w:rPr>
          </w:pPr>
          <w:r w:rsidRPr="00506E3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5977BB50" wp14:editId="5977BB51">
                <wp:extent cx="1086485" cy="642620"/>
                <wp:effectExtent l="0" t="0" r="5715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</w:tcPr>
        <w:p w14:paraId="5977BB44" w14:textId="77777777" w:rsidR="00EC2D0B" w:rsidRPr="00506E39" w:rsidRDefault="00EC2D0B" w:rsidP="00546D0D">
          <w:pPr>
            <w:pStyle w:val="Header"/>
            <w:rPr>
              <w:b/>
              <w:szCs w:val="22"/>
            </w:rPr>
          </w:pPr>
          <w:r w:rsidRPr="00506E39">
            <w:rPr>
              <w:rFonts w:ascii="Arial" w:hAnsi="Arial" w:cs="Arial"/>
              <w:b/>
              <w:szCs w:val="22"/>
            </w:rPr>
            <w:t>LGA Leadership Board</w:t>
          </w:r>
        </w:p>
      </w:tc>
    </w:tr>
    <w:tr w:rsidR="00EC2D0B" w14:paraId="5977BB48" w14:textId="77777777" w:rsidTr="0079133C">
      <w:trPr>
        <w:trHeight w:val="450"/>
      </w:trPr>
      <w:tc>
        <w:tcPr>
          <w:tcW w:w="6062" w:type="dxa"/>
          <w:vMerge/>
        </w:tcPr>
        <w:p w14:paraId="5977BB46" w14:textId="77777777" w:rsidR="00EC2D0B" w:rsidRPr="00506E39" w:rsidRDefault="00EC2D0B" w:rsidP="00546D0D">
          <w:pPr>
            <w:pStyle w:val="Header"/>
            <w:rPr>
              <w:szCs w:val="22"/>
            </w:rPr>
          </w:pPr>
        </w:p>
      </w:tc>
      <w:tc>
        <w:tcPr>
          <w:tcW w:w="3225" w:type="dxa"/>
        </w:tcPr>
        <w:p w14:paraId="5977BB47" w14:textId="77777777" w:rsidR="00EC2D0B" w:rsidRPr="00506E39" w:rsidRDefault="00EC2D0B" w:rsidP="004959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18 October 2017</w:t>
          </w:r>
        </w:p>
      </w:tc>
    </w:tr>
    <w:tr w:rsidR="00EC2D0B" w14:paraId="5977BB4C" w14:textId="77777777" w:rsidTr="0079133C">
      <w:trPr>
        <w:trHeight w:val="450"/>
      </w:trPr>
      <w:tc>
        <w:tcPr>
          <w:tcW w:w="6062" w:type="dxa"/>
          <w:vMerge/>
        </w:tcPr>
        <w:p w14:paraId="5977BB49" w14:textId="77777777" w:rsidR="00EC2D0B" w:rsidRDefault="00EC2D0B" w:rsidP="00546D0D">
          <w:pPr>
            <w:pStyle w:val="Header"/>
          </w:pPr>
        </w:p>
      </w:tc>
      <w:tc>
        <w:tcPr>
          <w:tcW w:w="3225" w:type="dxa"/>
        </w:tcPr>
        <w:p w14:paraId="5977BB4A" w14:textId="77777777" w:rsidR="00EC2D0B" w:rsidRPr="0079133C" w:rsidRDefault="00EC2D0B" w:rsidP="0079133C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5977BB4B" w14:textId="77777777" w:rsidR="00EC2D0B" w:rsidRPr="0079133C" w:rsidRDefault="00EC2D0B" w:rsidP="0079133C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5977BB4D" w14:textId="77777777" w:rsidR="00EC2D0B" w:rsidRDefault="00EC2D0B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2.25pt;height:75pt" o:bullet="t">
        <v:imagedata r:id="rId1" o:title=""/>
      </v:shape>
    </w:pict>
  </w:numPicBullet>
  <w:abstractNum w:abstractNumId="0" w15:restartNumberingAfterBreak="0">
    <w:nsid w:val="021647FF"/>
    <w:multiLevelType w:val="multilevel"/>
    <w:tmpl w:val="A73AE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AC5FDC"/>
    <w:multiLevelType w:val="hybridMultilevel"/>
    <w:tmpl w:val="9438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770D3"/>
    <w:multiLevelType w:val="multilevel"/>
    <w:tmpl w:val="55B6B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E70552"/>
    <w:multiLevelType w:val="hybridMultilevel"/>
    <w:tmpl w:val="AA6A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18FB"/>
    <w:multiLevelType w:val="multilevel"/>
    <w:tmpl w:val="F2DC9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843A9D"/>
    <w:multiLevelType w:val="multilevel"/>
    <w:tmpl w:val="9DC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B3A5D"/>
    <w:multiLevelType w:val="hybridMultilevel"/>
    <w:tmpl w:val="9910852C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C7435EA"/>
    <w:multiLevelType w:val="multilevel"/>
    <w:tmpl w:val="10DE92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190F29"/>
    <w:multiLevelType w:val="hybridMultilevel"/>
    <w:tmpl w:val="38883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811DF"/>
    <w:multiLevelType w:val="hybridMultilevel"/>
    <w:tmpl w:val="BC269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05A"/>
    <w:multiLevelType w:val="hybridMultilevel"/>
    <w:tmpl w:val="E0769D1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5DD365D"/>
    <w:multiLevelType w:val="hybridMultilevel"/>
    <w:tmpl w:val="9662D50C"/>
    <w:lvl w:ilvl="0" w:tplc="B73E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7A66"/>
    <w:multiLevelType w:val="multilevel"/>
    <w:tmpl w:val="F5880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FE64905"/>
    <w:multiLevelType w:val="hybridMultilevel"/>
    <w:tmpl w:val="FADA15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512A7"/>
    <w:multiLevelType w:val="hybridMultilevel"/>
    <w:tmpl w:val="94BC6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6D30DE9"/>
    <w:multiLevelType w:val="hybridMultilevel"/>
    <w:tmpl w:val="9F0AB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070D2"/>
    <w:multiLevelType w:val="multilevel"/>
    <w:tmpl w:val="DB18E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751222"/>
    <w:multiLevelType w:val="hybridMultilevel"/>
    <w:tmpl w:val="DEFA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726"/>
    <w:multiLevelType w:val="multilevel"/>
    <w:tmpl w:val="C09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97B79"/>
    <w:multiLevelType w:val="multilevel"/>
    <w:tmpl w:val="50228DCA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7D3206A"/>
    <w:multiLevelType w:val="multilevel"/>
    <w:tmpl w:val="38883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DC6F50"/>
    <w:multiLevelType w:val="multilevel"/>
    <w:tmpl w:val="29C609F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9BA2F45"/>
    <w:multiLevelType w:val="multilevel"/>
    <w:tmpl w:val="7226A516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9D9513B"/>
    <w:multiLevelType w:val="hybridMultilevel"/>
    <w:tmpl w:val="9088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41BA0"/>
    <w:multiLevelType w:val="multilevel"/>
    <w:tmpl w:val="DB18E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0E10D8"/>
    <w:multiLevelType w:val="multilevel"/>
    <w:tmpl w:val="1310A6B2"/>
    <w:lvl w:ilvl="0">
      <w:start w:val="1"/>
      <w:numFmt w:val="decimal"/>
      <w:lvlText w:val="28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BF833F2"/>
    <w:multiLevelType w:val="multilevel"/>
    <w:tmpl w:val="EF96E7C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0A563F"/>
    <w:multiLevelType w:val="multilevel"/>
    <w:tmpl w:val="C04231CA"/>
    <w:lvl w:ilvl="0">
      <w:start w:val="1"/>
      <w:numFmt w:val="decimal"/>
      <w:lvlText w:val="12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C186B2D"/>
    <w:multiLevelType w:val="hybridMultilevel"/>
    <w:tmpl w:val="B590FD28"/>
    <w:lvl w:ilvl="0" w:tplc="99805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4318B"/>
    <w:multiLevelType w:val="hybridMultilevel"/>
    <w:tmpl w:val="ABD2099E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6148"/>
    <w:multiLevelType w:val="hybridMultilevel"/>
    <w:tmpl w:val="8472A4D0"/>
    <w:lvl w:ilvl="0" w:tplc="08090001">
      <w:start w:val="1"/>
      <w:numFmt w:val="bullet"/>
      <w:lvlText w:val=""/>
      <w:lvlJc w:val="left"/>
      <w:pPr>
        <w:ind w:left="2164" w:hanging="7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456ACB"/>
    <w:multiLevelType w:val="multilevel"/>
    <w:tmpl w:val="73CCEE94"/>
    <w:lvl w:ilvl="0">
      <w:start w:val="3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4383869"/>
    <w:multiLevelType w:val="multilevel"/>
    <w:tmpl w:val="421C9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5E274C3"/>
    <w:multiLevelType w:val="multilevel"/>
    <w:tmpl w:val="28E06448"/>
    <w:lvl w:ilvl="0">
      <w:start w:val="1"/>
      <w:numFmt w:val="decimal"/>
      <w:lvlText w:val="12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7F50FEE"/>
    <w:multiLevelType w:val="multilevel"/>
    <w:tmpl w:val="F2DC9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A9B441A"/>
    <w:multiLevelType w:val="hybridMultilevel"/>
    <w:tmpl w:val="BDDAF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7416C"/>
    <w:multiLevelType w:val="hybridMultilevel"/>
    <w:tmpl w:val="254677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593FDD"/>
    <w:multiLevelType w:val="multilevel"/>
    <w:tmpl w:val="951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0C1415"/>
    <w:multiLevelType w:val="hybridMultilevel"/>
    <w:tmpl w:val="5C6E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87F48"/>
    <w:multiLevelType w:val="multilevel"/>
    <w:tmpl w:val="838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15465"/>
    <w:multiLevelType w:val="hybridMultilevel"/>
    <w:tmpl w:val="6714D50E"/>
    <w:lvl w:ilvl="0" w:tplc="B73E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C2E13"/>
    <w:multiLevelType w:val="multilevel"/>
    <w:tmpl w:val="421C98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E950875"/>
    <w:multiLevelType w:val="multilevel"/>
    <w:tmpl w:val="1310A6B2"/>
    <w:lvl w:ilvl="0">
      <w:start w:val="1"/>
      <w:numFmt w:val="decimal"/>
      <w:lvlText w:val="28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2491E09"/>
    <w:multiLevelType w:val="hybridMultilevel"/>
    <w:tmpl w:val="E304CB9A"/>
    <w:lvl w:ilvl="0" w:tplc="99805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6002AD"/>
    <w:multiLevelType w:val="multilevel"/>
    <w:tmpl w:val="04FA5212"/>
    <w:lvl w:ilvl="0">
      <w:start w:val="1"/>
      <w:numFmt w:val="decimal"/>
      <w:lvlText w:val="26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94934AA"/>
    <w:multiLevelType w:val="multilevel"/>
    <w:tmpl w:val="27DC9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3E6FF3"/>
    <w:multiLevelType w:val="multilevel"/>
    <w:tmpl w:val="F2DC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AC816EB"/>
    <w:multiLevelType w:val="hybridMultilevel"/>
    <w:tmpl w:val="F5E4B7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13"/>
  </w:num>
  <w:num w:numId="3">
    <w:abstractNumId w:val="8"/>
  </w:num>
  <w:num w:numId="4">
    <w:abstractNumId w:val="20"/>
  </w:num>
  <w:num w:numId="5">
    <w:abstractNumId w:val="27"/>
  </w:num>
  <w:num w:numId="6">
    <w:abstractNumId w:val="33"/>
  </w:num>
  <w:num w:numId="7">
    <w:abstractNumId w:val="25"/>
  </w:num>
  <w:num w:numId="8">
    <w:abstractNumId w:val="16"/>
  </w:num>
  <w:num w:numId="9">
    <w:abstractNumId w:val="24"/>
  </w:num>
  <w:num w:numId="10">
    <w:abstractNumId w:val="44"/>
  </w:num>
  <w:num w:numId="11">
    <w:abstractNumId w:val="42"/>
  </w:num>
  <w:num w:numId="12">
    <w:abstractNumId w:val="21"/>
  </w:num>
  <w:num w:numId="13">
    <w:abstractNumId w:val="31"/>
  </w:num>
  <w:num w:numId="14">
    <w:abstractNumId w:val="29"/>
  </w:num>
  <w:num w:numId="15">
    <w:abstractNumId w:val="12"/>
  </w:num>
  <w:num w:numId="16">
    <w:abstractNumId w:val="2"/>
  </w:num>
  <w:num w:numId="17">
    <w:abstractNumId w:val="22"/>
  </w:num>
  <w:num w:numId="18">
    <w:abstractNumId w:val="17"/>
  </w:num>
  <w:num w:numId="19">
    <w:abstractNumId w:val="14"/>
  </w:num>
  <w:num w:numId="20">
    <w:abstractNumId w:val="1"/>
  </w:num>
  <w:num w:numId="21">
    <w:abstractNumId w:val="43"/>
  </w:num>
  <w:num w:numId="22">
    <w:abstractNumId w:val="28"/>
  </w:num>
  <w:num w:numId="23">
    <w:abstractNumId w:val="19"/>
  </w:num>
  <w:num w:numId="24">
    <w:abstractNumId w:val="26"/>
  </w:num>
  <w:num w:numId="25">
    <w:abstractNumId w:val="4"/>
  </w:num>
  <w:num w:numId="26">
    <w:abstractNumId w:val="46"/>
  </w:num>
  <w:num w:numId="27">
    <w:abstractNumId w:val="34"/>
  </w:num>
  <w:num w:numId="28">
    <w:abstractNumId w:val="40"/>
  </w:num>
  <w:num w:numId="29">
    <w:abstractNumId w:val="11"/>
  </w:num>
  <w:num w:numId="30">
    <w:abstractNumId w:val="3"/>
  </w:num>
  <w:num w:numId="31">
    <w:abstractNumId w:val="38"/>
  </w:num>
  <w:num w:numId="32">
    <w:abstractNumId w:val="6"/>
  </w:num>
  <w:num w:numId="33">
    <w:abstractNumId w:val="41"/>
  </w:num>
  <w:num w:numId="34">
    <w:abstractNumId w:val="23"/>
  </w:num>
  <w:num w:numId="35">
    <w:abstractNumId w:val="18"/>
  </w:num>
  <w:num w:numId="36">
    <w:abstractNumId w:val="32"/>
  </w:num>
  <w:num w:numId="37">
    <w:abstractNumId w:val="15"/>
  </w:num>
  <w:num w:numId="38">
    <w:abstractNumId w:val="5"/>
  </w:num>
  <w:num w:numId="39">
    <w:abstractNumId w:val="7"/>
  </w:num>
  <w:num w:numId="40">
    <w:abstractNumId w:val="10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9"/>
  </w:num>
  <w:num w:numId="44">
    <w:abstractNumId w:val="35"/>
  </w:num>
  <w:num w:numId="45">
    <w:abstractNumId w:val="36"/>
  </w:num>
  <w:num w:numId="46">
    <w:abstractNumId w:val="37"/>
  </w:num>
  <w:num w:numId="47">
    <w:abstractNumId w:val="39"/>
  </w:num>
  <w:num w:numId="48">
    <w:abstractNumId w:val="47"/>
  </w:num>
  <w:num w:numId="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C"/>
    <w:rsid w:val="00000460"/>
    <w:rsid w:val="00001174"/>
    <w:rsid w:val="00001AAC"/>
    <w:rsid w:val="00007940"/>
    <w:rsid w:val="000109D3"/>
    <w:rsid w:val="00011E01"/>
    <w:rsid w:val="00022720"/>
    <w:rsid w:val="000238C2"/>
    <w:rsid w:val="00024180"/>
    <w:rsid w:val="00025C9F"/>
    <w:rsid w:val="00050253"/>
    <w:rsid w:val="00052699"/>
    <w:rsid w:val="0005285D"/>
    <w:rsid w:val="000770CB"/>
    <w:rsid w:val="000776E8"/>
    <w:rsid w:val="000800A8"/>
    <w:rsid w:val="00082957"/>
    <w:rsid w:val="00084E44"/>
    <w:rsid w:val="000915D5"/>
    <w:rsid w:val="000915E7"/>
    <w:rsid w:val="00092A40"/>
    <w:rsid w:val="000965EB"/>
    <w:rsid w:val="000A3935"/>
    <w:rsid w:val="000A47B9"/>
    <w:rsid w:val="000A56B5"/>
    <w:rsid w:val="000B09F5"/>
    <w:rsid w:val="000C058F"/>
    <w:rsid w:val="000C1025"/>
    <w:rsid w:val="000C14E9"/>
    <w:rsid w:val="000C322E"/>
    <w:rsid w:val="000C3360"/>
    <w:rsid w:val="000C38BE"/>
    <w:rsid w:val="000C5F70"/>
    <w:rsid w:val="000C7C5C"/>
    <w:rsid w:val="000E5E39"/>
    <w:rsid w:val="000F428D"/>
    <w:rsid w:val="000F583A"/>
    <w:rsid w:val="0010253D"/>
    <w:rsid w:val="00104D4B"/>
    <w:rsid w:val="00117014"/>
    <w:rsid w:val="001172B6"/>
    <w:rsid w:val="00120798"/>
    <w:rsid w:val="00122D2B"/>
    <w:rsid w:val="001259CE"/>
    <w:rsid w:val="0013595B"/>
    <w:rsid w:val="001424C2"/>
    <w:rsid w:val="00144911"/>
    <w:rsid w:val="001467A9"/>
    <w:rsid w:val="00150E63"/>
    <w:rsid w:val="001540DF"/>
    <w:rsid w:val="001554A0"/>
    <w:rsid w:val="00173D5A"/>
    <w:rsid w:val="001741CE"/>
    <w:rsid w:val="00174493"/>
    <w:rsid w:val="00174659"/>
    <w:rsid w:val="00185210"/>
    <w:rsid w:val="00187313"/>
    <w:rsid w:val="001900F4"/>
    <w:rsid w:val="001930DC"/>
    <w:rsid w:val="00194A4F"/>
    <w:rsid w:val="00195486"/>
    <w:rsid w:val="0019733C"/>
    <w:rsid w:val="00197BC2"/>
    <w:rsid w:val="001A07F1"/>
    <w:rsid w:val="001A7A02"/>
    <w:rsid w:val="001B4038"/>
    <w:rsid w:val="001B551E"/>
    <w:rsid w:val="001B558F"/>
    <w:rsid w:val="001B6AAE"/>
    <w:rsid w:val="001C1915"/>
    <w:rsid w:val="001D2C76"/>
    <w:rsid w:val="001E4CE7"/>
    <w:rsid w:val="001E7090"/>
    <w:rsid w:val="001E7AEA"/>
    <w:rsid w:val="001F282D"/>
    <w:rsid w:val="00203971"/>
    <w:rsid w:val="002075E0"/>
    <w:rsid w:val="0021442D"/>
    <w:rsid w:val="00215200"/>
    <w:rsid w:val="002216A7"/>
    <w:rsid w:val="0022688F"/>
    <w:rsid w:val="002313C9"/>
    <w:rsid w:val="00243A0E"/>
    <w:rsid w:val="00247038"/>
    <w:rsid w:val="00250409"/>
    <w:rsid w:val="00256C02"/>
    <w:rsid w:val="00256F4F"/>
    <w:rsid w:val="002606E7"/>
    <w:rsid w:val="00270911"/>
    <w:rsid w:val="00290688"/>
    <w:rsid w:val="00293180"/>
    <w:rsid w:val="002A3D64"/>
    <w:rsid w:val="002B3F42"/>
    <w:rsid w:val="002B49D8"/>
    <w:rsid w:val="002D0658"/>
    <w:rsid w:val="002D2FE1"/>
    <w:rsid w:val="002D6DE2"/>
    <w:rsid w:val="002E1D06"/>
    <w:rsid w:val="002E5267"/>
    <w:rsid w:val="002E5BFE"/>
    <w:rsid w:val="002F05E0"/>
    <w:rsid w:val="002F15DD"/>
    <w:rsid w:val="002F1965"/>
    <w:rsid w:val="002F2484"/>
    <w:rsid w:val="002F2AA1"/>
    <w:rsid w:val="002F666E"/>
    <w:rsid w:val="002F7B51"/>
    <w:rsid w:val="00304C17"/>
    <w:rsid w:val="0031394A"/>
    <w:rsid w:val="003206F2"/>
    <w:rsid w:val="00324E86"/>
    <w:rsid w:val="00331B72"/>
    <w:rsid w:val="003348FA"/>
    <w:rsid w:val="00354F2E"/>
    <w:rsid w:val="003552BC"/>
    <w:rsid w:val="00363ED4"/>
    <w:rsid w:val="003645FE"/>
    <w:rsid w:val="00372826"/>
    <w:rsid w:val="00372DE6"/>
    <w:rsid w:val="00373CF8"/>
    <w:rsid w:val="00382380"/>
    <w:rsid w:val="00383DA5"/>
    <w:rsid w:val="003953DA"/>
    <w:rsid w:val="00397A53"/>
    <w:rsid w:val="003B01AF"/>
    <w:rsid w:val="003B0ECE"/>
    <w:rsid w:val="003B5A40"/>
    <w:rsid w:val="003B7307"/>
    <w:rsid w:val="003B7E86"/>
    <w:rsid w:val="003C0875"/>
    <w:rsid w:val="003C27BF"/>
    <w:rsid w:val="003C6F6B"/>
    <w:rsid w:val="003C77A8"/>
    <w:rsid w:val="003D1374"/>
    <w:rsid w:val="003D50F7"/>
    <w:rsid w:val="003D537C"/>
    <w:rsid w:val="003D71D2"/>
    <w:rsid w:val="003E4825"/>
    <w:rsid w:val="003F2776"/>
    <w:rsid w:val="004002F0"/>
    <w:rsid w:val="004009DB"/>
    <w:rsid w:val="00406768"/>
    <w:rsid w:val="00406C2E"/>
    <w:rsid w:val="00407A63"/>
    <w:rsid w:val="0041779E"/>
    <w:rsid w:val="00417808"/>
    <w:rsid w:val="0041798F"/>
    <w:rsid w:val="0042008E"/>
    <w:rsid w:val="0042168F"/>
    <w:rsid w:val="00422AB3"/>
    <w:rsid w:val="004351D5"/>
    <w:rsid w:val="00437D26"/>
    <w:rsid w:val="004401AF"/>
    <w:rsid w:val="004434C4"/>
    <w:rsid w:val="004447E8"/>
    <w:rsid w:val="00445A40"/>
    <w:rsid w:val="00446AAE"/>
    <w:rsid w:val="004525F0"/>
    <w:rsid w:val="004555D6"/>
    <w:rsid w:val="00461928"/>
    <w:rsid w:val="004630FA"/>
    <w:rsid w:val="004640C2"/>
    <w:rsid w:val="00464745"/>
    <w:rsid w:val="004705E8"/>
    <w:rsid w:val="00471049"/>
    <w:rsid w:val="00475806"/>
    <w:rsid w:val="004773DA"/>
    <w:rsid w:val="00481164"/>
    <w:rsid w:val="004862DF"/>
    <w:rsid w:val="0049478E"/>
    <w:rsid w:val="004950E1"/>
    <w:rsid w:val="004959F2"/>
    <w:rsid w:val="004961BB"/>
    <w:rsid w:val="004A2265"/>
    <w:rsid w:val="004A7315"/>
    <w:rsid w:val="004B6156"/>
    <w:rsid w:val="004C0B28"/>
    <w:rsid w:val="004D36F3"/>
    <w:rsid w:val="004D5966"/>
    <w:rsid w:val="004F091B"/>
    <w:rsid w:val="004F12FE"/>
    <w:rsid w:val="004F4C10"/>
    <w:rsid w:val="004F679D"/>
    <w:rsid w:val="00503D3D"/>
    <w:rsid w:val="00505739"/>
    <w:rsid w:val="00506E39"/>
    <w:rsid w:val="00514A9F"/>
    <w:rsid w:val="00514E18"/>
    <w:rsid w:val="00520A6B"/>
    <w:rsid w:val="00520DFB"/>
    <w:rsid w:val="00521123"/>
    <w:rsid w:val="00523D71"/>
    <w:rsid w:val="005254D9"/>
    <w:rsid w:val="00530DA6"/>
    <w:rsid w:val="00531F08"/>
    <w:rsid w:val="00546D0D"/>
    <w:rsid w:val="00547E7C"/>
    <w:rsid w:val="00551128"/>
    <w:rsid w:val="00555182"/>
    <w:rsid w:val="00556548"/>
    <w:rsid w:val="00563867"/>
    <w:rsid w:val="0057005C"/>
    <w:rsid w:val="00570599"/>
    <w:rsid w:val="00571A72"/>
    <w:rsid w:val="005735C7"/>
    <w:rsid w:val="0058127C"/>
    <w:rsid w:val="00581B73"/>
    <w:rsid w:val="00581BA6"/>
    <w:rsid w:val="005835B9"/>
    <w:rsid w:val="005927B0"/>
    <w:rsid w:val="005A2CBA"/>
    <w:rsid w:val="005A2D64"/>
    <w:rsid w:val="005A2F1F"/>
    <w:rsid w:val="005A3C26"/>
    <w:rsid w:val="005A4917"/>
    <w:rsid w:val="005A536B"/>
    <w:rsid w:val="005A5631"/>
    <w:rsid w:val="005B1D32"/>
    <w:rsid w:val="005B3508"/>
    <w:rsid w:val="005B53E8"/>
    <w:rsid w:val="005B6964"/>
    <w:rsid w:val="005B6B8E"/>
    <w:rsid w:val="005C3582"/>
    <w:rsid w:val="005C4E02"/>
    <w:rsid w:val="005C76D8"/>
    <w:rsid w:val="005C7C80"/>
    <w:rsid w:val="005D2B23"/>
    <w:rsid w:val="005E0BBD"/>
    <w:rsid w:val="005E1D36"/>
    <w:rsid w:val="005E261E"/>
    <w:rsid w:val="005E467F"/>
    <w:rsid w:val="005E493A"/>
    <w:rsid w:val="005E7543"/>
    <w:rsid w:val="005F07F6"/>
    <w:rsid w:val="005F09BA"/>
    <w:rsid w:val="005F117B"/>
    <w:rsid w:val="005F364F"/>
    <w:rsid w:val="005F5A3A"/>
    <w:rsid w:val="00601A2D"/>
    <w:rsid w:val="00603C79"/>
    <w:rsid w:val="006124E3"/>
    <w:rsid w:val="0061303C"/>
    <w:rsid w:val="00615819"/>
    <w:rsid w:val="006158BA"/>
    <w:rsid w:val="00617B72"/>
    <w:rsid w:val="00630F6D"/>
    <w:rsid w:val="00632BD0"/>
    <w:rsid w:val="00635AFF"/>
    <w:rsid w:val="00640A4C"/>
    <w:rsid w:val="006434CB"/>
    <w:rsid w:val="00643749"/>
    <w:rsid w:val="00645B3F"/>
    <w:rsid w:val="00646E14"/>
    <w:rsid w:val="00647380"/>
    <w:rsid w:val="00647B33"/>
    <w:rsid w:val="00650936"/>
    <w:rsid w:val="00650D1D"/>
    <w:rsid w:val="006545CA"/>
    <w:rsid w:val="00654832"/>
    <w:rsid w:val="00655836"/>
    <w:rsid w:val="0066168E"/>
    <w:rsid w:val="00663C91"/>
    <w:rsid w:val="006659D2"/>
    <w:rsid w:val="00665F90"/>
    <w:rsid w:val="00666838"/>
    <w:rsid w:val="00667EF2"/>
    <w:rsid w:val="00672CA8"/>
    <w:rsid w:val="006766A6"/>
    <w:rsid w:val="00676855"/>
    <w:rsid w:val="006927FA"/>
    <w:rsid w:val="006A0E31"/>
    <w:rsid w:val="006A1C67"/>
    <w:rsid w:val="006A5B68"/>
    <w:rsid w:val="006A5FB2"/>
    <w:rsid w:val="006B4718"/>
    <w:rsid w:val="006B63A7"/>
    <w:rsid w:val="006B7764"/>
    <w:rsid w:val="006B7DAD"/>
    <w:rsid w:val="006C1300"/>
    <w:rsid w:val="006C2EF4"/>
    <w:rsid w:val="006C33DB"/>
    <w:rsid w:val="006F0CCB"/>
    <w:rsid w:val="006F2D7F"/>
    <w:rsid w:val="006F3779"/>
    <w:rsid w:val="006F3E5B"/>
    <w:rsid w:val="006F4FC3"/>
    <w:rsid w:val="006F60F5"/>
    <w:rsid w:val="00702F8E"/>
    <w:rsid w:val="00705355"/>
    <w:rsid w:val="00706D3A"/>
    <w:rsid w:val="00706E96"/>
    <w:rsid w:val="0071029F"/>
    <w:rsid w:val="007130EA"/>
    <w:rsid w:val="00714CF7"/>
    <w:rsid w:val="00715BC6"/>
    <w:rsid w:val="00716682"/>
    <w:rsid w:val="0072483C"/>
    <w:rsid w:val="0073002E"/>
    <w:rsid w:val="00730687"/>
    <w:rsid w:val="00732CBA"/>
    <w:rsid w:val="00733095"/>
    <w:rsid w:val="007435F5"/>
    <w:rsid w:val="00745EE0"/>
    <w:rsid w:val="007467BC"/>
    <w:rsid w:val="00746D9B"/>
    <w:rsid w:val="007513B6"/>
    <w:rsid w:val="00751885"/>
    <w:rsid w:val="007611A6"/>
    <w:rsid w:val="00761A7E"/>
    <w:rsid w:val="0076255A"/>
    <w:rsid w:val="00764601"/>
    <w:rsid w:val="007660B8"/>
    <w:rsid w:val="007670B0"/>
    <w:rsid w:val="00770511"/>
    <w:rsid w:val="007711BA"/>
    <w:rsid w:val="0077334B"/>
    <w:rsid w:val="007737D2"/>
    <w:rsid w:val="00776FFA"/>
    <w:rsid w:val="0077793A"/>
    <w:rsid w:val="00782A15"/>
    <w:rsid w:val="00791022"/>
    <w:rsid w:val="0079133C"/>
    <w:rsid w:val="00796E10"/>
    <w:rsid w:val="007A11EC"/>
    <w:rsid w:val="007A16EB"/>
    <w:rsid w:val="007A25F9"/>
    <w:rsid w:val="007A782F"/>
    <w:rsid w:val="007B053C"/>
    <w:rsid w:val="007B7A0E"/>
    <w:rsid w:val="007C05BB"/>
    <w:rsid w:val="007C1849"/>
    <w:rsid w:val="007C2BC2"/>
    <w:rsid w:val="007C545D"/>
    <w:rsid w:val="007E06C7"/>
    <w:rsid w:val="007E638F"/>
    <w:rsid w:val="007E7463"/>
    <w:rsid w:val="007F24E8"/>
    <w:rsid w:val="007F53E5"/>
    <w:rsid w:val="008023DC"/>
    <w:rsid w:val="008025F6"/>
    <w:rsid w:val="00804D6E"/>
    <w:rsid w:val="008114C1"/>
    <w:rsid w:val="00811617"/>
    <w:rsid w:val="00811ECF"/>
    <w:rsid w:val="00813F73"/>
    <w:rsid w:val="00823042"/>
    <w:rsid w:val="0082451A"/>
    <w:rsid w:val="00827A4A"/>
    <w:rsid w:val="008313C6"/>
    <w:rsid w:val="00833A62"/>
    <w:rsid w:val="00836E33"/>
    <w:rsid w:val="00841710"/>
    <w:rsid w:val="00843231"/>
    <w:rsid w:val="00844E45"/>
    <w:rsid w:val="008471D1"/>
    <w:rsid w:val="008518C7"/>
    <w:rsid w:val="00851FC6"/>
    <w:rsid w:val="008520B1"/>
    <w:rsid w:val="0085327D"/>
    <w:rsid w:val="0085334F"/>
    <w:rsid w:val="00860E35"/>
    <w:rsid w:val="00864C97"/>
    <w:rsid w:val="00867201"/>
    <w:rsid w:val="0087174A"/>
    <w:rsid w:val="00871FC0"/>
    <w:rsid w:val="00872BFA"/>
    <w:rsid w:val="008827A0"/>
    <w:rsid w:val="008848F9"/>
    <w:rsid w:val="008C19DB"/>
    <w:rsid w:val="008C2828"/>
    <w:rsid w:val="008C3AFD"/>
    <w:rsid w:val="008C5B7A"/>
    <w:rsid w:val="008D1B23"/>
    <w:rsid w:val="008D332D"/>
    <w:rsid w:val="008D3988"/>
    <w:rsid w:val="008D68FD"/>
    <w:rsid w:val="008E0E8F"/>
    <w:rsid w:val="008E5AE8"/>
    <w:rsid w:val="008E60AB"/>
    <w:rsid w:val="008E6E34"/>
    <w:rsid w:val="00901366"/>
    <w:rsid w:val="00905096"/>
    <w:rsid w:val="00907AFE"/>
    <w:rsid w:val="00912AE7"/>
    <w:rsid w:val="00912DEC"/>
    <w:rsid w:val="00914A91"/>
    <w:rsid w:val="00914FAF"/>
    <w:rsid w:val="00920525"/>
    <w:rsid w:val="00920D40"/>
    <w:rsid w:val="0092710B"/>
    <w:rsid w:val="00931A3E"/>
    <w:rsid w:val="0093272A"/>
    <w:rsid w:val="00940450"/>
    <w:rsid w:val="0094080A"/>
    <w:rsid w:val="00942A4F"/>
    <w:rsid w:val="00944476"/>
    <w:rsid w:val="0094468C"/>
    <w:rsid w:val="00944E61"/>
    <w:rsid w:val="009577E4"/>
    <w:rsid w:val="009579D3"/>
    <w:rsid w:val="009649C5"/>
    <w:rsid w:val="00972D16"/>
    <w:rsid w:val="009813AF"/>
    <w:rsid w:val="00982B41"/>
    <w:rsid w:val="00983DC2"/>
    <w:rsid w:val="00991E0B"/>
    <w:rsid w:val="0099222C"/>
    <w:rsid w:val="00992593"/>
    <w:rsid w:val="00994E5E"/>
    <w:rsid w:val="0099746D"/>
    <w:rsid w:val="00997B01"/>
    <w:rsid w:val="009A168B"/>
    <w:rsid w:val="009A1C8F"/>
    <w:rsid w:val="009A6ED4"/>
    <w:rsid w:val="009B0968"/>
    <w:rsid w:val="009C13AF"/>
    <w:rsid w:val="009C44E5"/>
    <w:rsid w:val="009C4A45"/>
    <w:rsid w:val="009C62D6"/>
    <w:rsid w:val="009C64BE"/>
    <w:rsid w:val="009C7622"/>
    <w:rsid w:val="009D0B59"/>
    <w:rsid w:val="009D5D4A"/>
    <w:rsid w:val="009D6157"/>
    <w:rsid w:val="009D715E"/>
    <w:rsid w:val="009E7266"/>
    <w:rsid w:val="00A01FD0"/>
    <w:rsid w:val="00A11676"/>
    <w:rsid w:val="00A15F18"/>
    <w:rsid w:val="00A16C4A"/>
    <w:rsid w:val="00A236D5"/>
    <w:rsid w:val="00A2399A"/>
    <w:rsid w:val="00A40E7B"/>
    <w:rsid w:val="00A46089"/>
    <w:rsid w:val="00A46635"/>
    <w:rsid w:val="00A47461"/>
    <w:rsid w:val="00A52970"/>
    <w:rsid w:val="00A55865"/>
    <w:rsid w:val="00A601EC"/>
    <w:rsid w:val="00A6156F"/>
    <w:rsid w:val="00A71CD2"/>
    <w:rsid w:val="00A72E5E"/>
    <w:rsid w:val="00A753EE"/>
    <w:rsid w:val="00A7644D"/>
    <w:rsid w:val="00A775D3"/>
    <w:rsid w:val="00A80853"/>
    <w:rsid w:val="00A836C0"/>
    <w:rsid w:val="00A85788"/>
    <w:rsid w:val="00A9189F"/>
    <w:rsid w:val="00A91E9C"/>
    <w:rsid w:val="00A9393E"/>
    <w:rsid w:val="00A951A7"/>
    <w:rsid w:val="00A97369"/>
    <w:rsid w:val="00AA5C07"/>
    <w:rsid w:val="00AA6F4D"/>
    <w:rsid w:val="00AB28F6"/>
    <w:rsid w:val="00AB3D3A"/>
    <w:rsid w:val="00AB5801"/>
    <w:rsid w:val="00AB6DEA"/>
    <w:rsid w:val="00AC3C7E"/>
    <w:rsid w:val="00AC7B6E"/>
    <w:rsid w:val="00AD11D8"/>
    <w:rsid w:val="00AD53D6"/>
    <w:rsid w:val="00AF02E1"/>
    <w:rsid w:val="00AF7A5E"/>
    <w:rsid w:val="00B00B89"/>
    <w:rsid w:val="00B01057"/>
    <w:rsid w:val="00B022F3"/>
    <w:rsid w:val="00B07E20"/>
    <w:rsid w:val="00B07F73"/>
    <w:rsid w:val="00B10D23"/>
    <w:rsid w:val="00B1152A"/>
    <w:rsid w:val="00B155FA"/>
    <w:rsid w:val="00B23A19"/>
    <w:rsid w:val="00B24B8B"/>
    <w:rsid w:val="00B318F4"/>
    <w:rsid w:val="00B354EE"/>
    <w:rsid w:val="00B35D4E"/>
    <w:rsid w:val="00B36751"/>
    <w:rsid w:val="00B37919"/>
    <w:rsid w:val="00B416CD"/>
    <w:rsid w:val="00B51559"/>
    <w:rsid w:val="00B51B1C"/>
    <w:rsid w:val="00B527F5"/>
    <w:rsid w:val="00B62FAB"/>
    <w:rsid w:val="00B63F0D"/>
    <w:rsid w:val="00B653A3"/>
    <w:rsid w:val="00B668B0"/>
    <w:rsid w:val="00B70F40"/>
    <w:rsid w:val="00B72FA3"/>
    <w:rsid w:val="00B7526B"/>
    <w:rsid w:val="00B7585E"/>
    <w:rsid w:val="00B7679A"/>
    <w:rsid w:val="00B77C34"/>
    <w:rsid w:val="00B800CB"/>
    <w:rsid w:val="00B80911"/>
    <w:rsid w:val="00B81558"/>
    <w:rsid w:val="00B84DCA"/>
    <w:rsid w:val="00B862AC"/>
    <w:rsid w:val="00B86AFA"/>
    <w:rsid w:val="00B9439C"/>
    <w:rsid w:val="00B96EC4"/>
    <w:rsid w:val="00BA3AEB"/>
    <w:rsid w:val="00BB212B"/>
    <w:rsid w:val="00BB2929"/>
    <w:rsid w:val="00BC642F"/>
    <w:rsid w:val="00BD0B88"/>
    <w:rsid w:val="00BD3408"/>
    <w:rsid w:val="00BD3947"/>
    <w:rsid w:val="00BD3CB6"/>
    <w:rsid w:val="00BF1CF7"/>
    <w:rsid w:val="00BF68FA"/>
    <w:rsid w:val="00BF78CB"/>
    <w:rsid w:val="00C04C37"/>
    <w:rsid w:val="00C06FB2"/>
    <w:rsid w:val="00C11C49"/>
    <w:rsid w:val="00C24995"/>
    <w:rsid w:val="00C301CA"/>
    <w:rsid w:val="00C33A38"/>
    <w:rsid w:val="00C342FB"/>
    <w:rsid w:val="00C36EBD"/>
    <w:rsid w:val="00C3751E"/>
    <w:rsid w:val="00C4089B"/>
    <w:rsid w:val="00C40E19"/>
    <w:rsid w:val="00C50405"/>
    <w:rsid w:val="00C568F9"/>
    <w:rsid w:val="00C57AAA"/>
    <w:rsid w:val="00C64A00"/>
    <w:rsid w:val="00C66954"/>
    <w:rsid w:val="00C726B0"/>
    <w:rsid w:val="00C75C80"/>
    <w:rsid w:val="00C91EA6"/>
    <w:rsid w:val="00C9258A"/>
    <w:rsid w:val="00C92FE3"/>
    <w:rsid w:val="00C97789"/>
    <w:rsid w:val="00CA3FD1"/>
    <w:rsid w:val="00CA5CC5"/>
    <w:rsid w:val="00CA610B"/>
    <w:rsid w:val="00CB082E"/>
    <w:rsid w:val="00CB4537"/>
    <w:rsid w:val="00CC0245"/>
    <w:rsid w:val="00CC6CCB"/>
    <w:rsid w:val="00CC7ACC"/>
    <w:rsid w:val="00CE189D"/>
    <w:rsid w:val="00CE2310"/>
    <w:rsid w:val="00CE30C0"/>
    <w:rsid w:val="00CE32BA"/>
    <w:rsid w:val="00CE48E8"/>
    <w:rsid w:val="00CF02E9"/>
    <w:rsid w:val="00D03CDC"/>
    <w:rsid w:val="00D06E86"/>
    <w:rsid w:val="00D1433A"/>
    <w:rsid w:val="00D1779A"/>
    <w:rsid w:val="00D22AA2"/>
    <w:rsid w:val="00D23067"/>
    <w:rsid w:val="00D242BE"/>
    <w:rsid w:val="00D27CFA"/>
    <w:rsid w:val="00D27F75"/>
    <w:rsid w:val="00D34812"/>
    <w:rsid w:val="00D40A0E"/>
    <w:rsid w:val="00D422CD"/>
    <w:rsid w:val="00D43291"/>
    <w:rsid w:val="00D4664C"/>
    <w:rsid w:val="00D537AC"/>
    <w:rsid w:val="00D53FB2"/>
    <w:rsid w:val="00D620BE"/>
    <w:rsid w:val="00D70565"/>
    <w:rsid w:val="00D72B07"/>
    <w:rsid w:val="00D73203"/>
    <w:rsid w:val="00D73F66"/>
    <w:rsid w:val="00D744EB"/>
    <w:rsid w:val="00D752BF"/>
    <w:rsid w:val="00D76CAB"/>
    <w:rsid w:val="00D77253"/>
    <w:rsid w:val="00D84788"/>
    <w:rsid w:val="00D903DC"/>
    <w:rsid w:val="00D93374"/>
    <w:rsid w:val="00DA0183"/>
    <w:rsid w:val="00DA1FDB"/>
    <w:rsid w:val="00DB63BC"/>
    <w:rsid w:val="00DC298A"/>
    <w:rsid w:val="00DC34CA"/>
    <w:rsid w:val="00DC541D"/>
    <w:rsid w:val="00DC6C7B"/>
    <w:rsid w:val="00DE1A9C"/>
    <w:rsid w:val="00DF0441"/>
    <w:rsid w:val="00DF11AC"/>
    <w:rsid w:val="00DF3484"/>
    <w:rsid w:val="00DF4407"/>
    <w:rsid w:val="00DF58FF"/>
    <w:rsid w:val="00E067F9"/>
    <w:rsid w:val="00E0794A"/>
    <w:rsid w:val="00E1606B"/>
    <w:rsid w:val="00E209CF"/>
    <w:rsid w:val="00E22AE6"/>
    <w:rsid w:val="00E25F95"/>
    <w:rsid w:val="00E270E0"/>
    <w:rsid w:val="00E2724F"/>
    <w:rsid w:val="00E33E25"/>
    <w:rsid w:val="00E3762E"/>
    <w:rsid w:val="00E4011A"/>
    <w:rsid w:val="00E5041B"/>
    <w:rsid w:val="00E52612"/>
    <w:rsid w:val="00E52894"/>
    <w:rsid w:val="00E64FBC"/>
    <w:rsid w:val="00E65EA5"/>
    <w:rsid w:val="00E67C4F"/>
    <w:rsid w:val="00E740F2"/>
    <w:rsid w:val="00E7710E"/>
    <w:rsid w:val="00E821DD"/>
    <w:rsid w:val="00E847A0"/>
    <w:rsid w:val="00EA3F8A"/>
    <w:rsid w:val="00EA56A5"/>
    <w:rsid w:val="00EA5B6C"/>
    <w:rsid w:val="00EB1237"/>
    <w:rsid w:val="00EB3E36"/>
    <w:rsid w:val="00EB3EE2"/>
    <w:rsid w:val="00EB7B9F"/>
    <w:rsid w:val="00EC0EE1"/>
    <w:rsid w:val="00EC25CC"/>
    <w:rsid w:val="00EC2D0B"/>
    <w:rsid w:val="00EC5473"/>
    <w:rsid w:val="00ED3514"/>
    <w:rsid w:val="00ED629C"/>
    <w:rsid w:val="00ED7EEF"/>
    <w:rsid w:val="00EE161E"/>
    <w:rsid w:val="00EE26F5"/>
    <w:rsid w:val="00EF14AE"/>
    <w:rsid w:val="00EF447E"/>
    <w:rsid w:val="00EF6DC2"/>
    <w:rsid w:val="00EF7E72"/>
    <w:rsid w:val="00F03560"/>
    <w:rsid w:val="00F06011"/>
    <w:rsid w:val="00F17CF2"/>
    <w:rsid w:val="00F200F5"/>
    <w:rsid w:val="00F22D1D"/>
    <w:rsid w:val="00F26674"/>
    <w:rsid w:val="00F3140C"/>
    <w:rsid w:val="00F347E9"/>
    <w:rsid w:val="00F36D65"/>
    <w:rsid w:val="00F374CD"/>
    <w:rsid w:val="00F45FD6"/>
    <w:rsid w:val="00F469A0"/>
    <w:rsid w:val="00F4703B"/>
    <w:rsid w:val="00F471F6"/>
    <w:rsid w:val="00F51F09"/>
    <w:rsid w:val="00F52FD5"/>
    <w:rsid w:val="00F60A2F"/>
    <w:rsid w:val="00F6671D"/>
    <w:rsid w:val="00F66928"/>
    <w:rsid w:val="00F72574"/>
    <w:rsid w:val="00F7259F"/>
    <w:rsid w:val="00F74663"/>
    <w:rsid w:val="00F74F32"/>
    <w:rsid w:val="00F866E4"/>
    <w:rsid w:val="00F912A5"/>
    <w:rsid w:val="00F91A20"/>
    <w:rsid w:val="00F924F1"/>
    <w:rsid w:val="00FA44D0"/>
    <w:rsid w:val="00FB709C"/>
    <w:rsid w:val="00FC7FAC"/>
    <w:rsid w:val="00FD060E"/>
    <w:rsid w:val="00FD2D84"/>
    <w:rsid w:val="00FD2FF4"/>
    <w:rsid w:val="00FD56E0"/>
    <w:rsid w:val="00FE0511"/>
    <w:rsid w:val="00FF1951"/>
    <w:rsid w:val="00FF4367"/>
    <w:rsid w:val="00FF58F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7BA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</w:rPr>
  </w:style>
  <w:style w:type="paragraph" w:styleId="Heading1">
    <w:name w:val="heading 1"/>
    <w:basedOn w:val="Normal"/>
    <w:next w:val="Normal"/>
    <w:qFormat/>
    <w:rsid w:val="009577E4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GAMainHead1">
    <w:name w:val="LGA Main Head1"/>
    <w:basedOn w:val="MainText"/>
    <w:pPr>
      <w:spacing w:after="280" w:line="240" w:lineRule="auto"/>
    </w:pPr>
    <w:rPr>
      <w:rFonts w:ascii="Frutiger 55 Roman" w:hAnsi="Frutiger 55 Roman"/>
      <w:b/>
      <w:sz w:val="32"/>
    </w:rPr>
  </w:style>
  <w:style w:type="paragraph" w:customStyle="1" w:styleId="CtteeandItem">
    <w:name w:val="Cttee and Item"/>
    <w:basedOn w:val="Normal"/>
    <w:pPr>
      <w:spacing w:line="360" w:lineRule="exact"/>
    </w:pPr>
    <w:rPr>
      <w:rFonts w:ascii="Frutiger 55 Roman" w:hAnsi="Frutiger 55 Roman"/>
      <w:b/>
    </w:rPr>
  </w:style>
  <w:style w:type="paragraph" w:styleId="Date">
    <w:name w:val="Date"/>
    <w:basedOn w:val="Normal"/>
    <w:pPr>
      <w:spacing w:after="40" w:line="360" w:lineRule="exact"/>
      <w:ind w:right="57"/>
    </w:pPr>
  </w:style>
  <w:style w:type="paragraph" w:customStyle="1" w:styleId="MainText">
    <w:name w:val="Main Text"/>
    <w:basedOn w:val="Normal"/>
    <w:pPr>
      <w:spacing w:line="280" w:lineRule="exact"/>
    </w:pPr>
  </w:style>
  <w:style w:type="paragraph" w:customStyle="1" w:styleId="LGAItemNoHeading">
    <w:name w:val="LGA Item No Heading"/>
    <w:basedOn w:val="MainText"/>
    <w:pPr>
      <w:spacing w:before="600" w:after="240"/>
    </w:pPr>
    <w:rPr>
      <w:rFonts w:ascii="Frutiger 55 Roman" w:hAnsi="Frutiger 55 Roman"/>
      <w:b/>
      <w:sz w:val="32"/>
    </w:rPr>
  </w:style>
  <w:style w:type="paragraph" w:customStyle="1" w:styleId="LGASubHead1">
    <w:name w:val="LGA Sub Head1"/>
    <w:basedOn w:val="MainText"/>
    <w:next w:val="MainText"/>
    <w:pPr>
      <w:spacing w:after="120" w:line="240" w:lineRule="auto"/>
    </w:pPr>
    <w:rPr>
      <w:b/>
      <w:sz w:val="28"/>
    </w:rPr>
  </w:style>
  <w:style w:type="paragraph" w:customStyle="1" w:styleId="LGASubHead2">
    <w:name w:val="LGA Sub Head2"/>
    <w:basedOn w:val="Normal"/>
    <w:next w:val="MainText"/>
    <w:pPr>
      <w:spacing w:after="120"/>
    </w:pPr>
    <w:rPr>
      <w:b/>
    </w:rPr>
  </w:style>
  <w:style w:type="character" w:styleId="Hyperlink">
    <w:name w:val="Hyperlink"/>
    <w:rsid w:val="00A601EC"/>
    <w:rPr>
      <w:color w:val="0000FF"/>
      <w:u w:val="single"/>
    </w:rPr>
  </w:style>
  <w:style w:type="table" w:styleId="TableGrid">
    <w:name w:val="Table Grid"/>
    <w:basedOn w:val="TableNormal"/>
    <w:rsid w:val="0098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7"/>
    <w:pPr>
      <w:ind w:left="720"/>
    </w:pPr>
  </w:style>
  <w:style w:type="paragraph" w:styleId="BalloonText">
    <w:name w:val="Balloon Text"/>
    <w:basedOn w:val="Normal"/>
    <w:link w:val="BalloonTextChar"/>
    <w:rsid w:val="004758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58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5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5D6"/>
    <w:rPr>
      <w:sz w:val="20"/>
    </w:rPr>
  </w:style>
  <w:style w:type="character" w:customStyle="1" w:styleId="CommentTextChar">
    <w:name w:val="Comment Text Char"/>
    <w:link w:val="CommentText"/>
    <w:rsid w:val="004555D6"/>
    <w:rPr>
      <w:rFonts w:ascii="Frutiger 45 Light" w:hAnsi="Frutiger 45 Light"/>
    </w:rPr>
  </w:style>
  <w:style w:type="paragraph" w:styleId="CommentSubject">
    <w:name w:val="annotation subject"/>
    <w:basedOn w:val="CommentText"/>
    <w:next w:val="CommentText"/>
    <w:link w:val="CommentSubjectChar"/>
    <w:rsid w:val="004555D6"/>
    <w:rPr>
      <w:b/>
      <w:bCs/>
    </w:rPr>
  </w:style>
  <w:style w:type="character" w:customStyle="1" w:styleId="CommentSubjectChar">
    <w:name w:val="Comment Subject Char"/>
    <w:link w:val="CommentSubject"/>
    <w:rsid w:val="004555D6"/>
    <w:rPr>
      <w:rFonts w:ascii="Frutiger 45 Light" w:hAnsi="Frutiger 45 Light"/>
      <w:b/>
      <w:bCs/>
    </w:rPr>
  </w:style>
  <w:style w:type="character" w:customStyle="1" w:styleId="s15">
    <w:name w:val="s15"/>
    <w:basedOn w:val="DefaultParagraphFont"/>
    <w:rsid w:val="003206F2"/>
  </w:style>
  <w:style w:type="character" w:customStyle="1" w:styleId="s6">
    <w:name w:val="s6"/>
    <w:basedOn w:val="DefaultParagraphFont"/>
    <w:rsid w:val="0032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0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87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1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0974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8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0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844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900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0236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en.jones@loca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eB\Local%20Settings\Temporary%20Internet%20Files\OLK9B\Report%20Template%202010%20v0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>Report</Document_x0020_Type>
    <TaxCatchAll xmlns="1c8a0e75-f4bc-4eb4-8ed0-578eaea9e1ca">
      <Value>1221</Value>
    </TaxCatchAll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CC6C4987-0205-4994-AFAE-6ACDDBC25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0E8EF-F5B8-495B-A9FF-DCA53FF3C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99EA-337F-4E61-B35D-AD64939F88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30FC96-7D07-4EA0-ADC8-B05B871D49F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c8febe6a-14d9-43ab-83c3-c48f478fa47c"/>
    <ds:schemaRef ds:uri="1c8a0e75-f4bc-4eb4-8ed0-578eaea9e1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2010 v0 3</Template>
  <TotalTime>1</TotalTime>
  <Pages>5</Pages>
  <Words>1497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templates</vt:lpstr>
    </vt:vector>
  </TitlesOfParts>
  <Company>Local Government Association</Company>
  <LinksUpToDate>false</LinksUpToDate>
  <CharactersWithSpaces>9790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mailto:stephen.jones@local.gov.uk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templates</dc:title>
  <dc:subject/>
  <dc:creator>LouiseB</dc:creator>
  <cp:keywords>Subscription 2016-17</cp:keywords>
  <cp:lastModifiedBy>Paul Goodchild</cp:lastModifiedBy>
  <cp:revision>4</cp:revision>
  <cp:lastPrinted>2017-10-04T15:58:00Z</cp:lastPrinted>
  <dcterms:created xsi:type="dcterms:W3CDTF">2017-10-05T09:07:00Z</dcterms:created>
  <dcterms:modified xsi:type="dcterms:W3CDTF">2017-10-11T17:12:00Z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CH</vt:lpwstr>
  </property>
  <property fmtid="{D5CDD505-2E9C-101B-9397-08002B2CF9AE}" pid="5" name="DC.creator">
    <vt:lpwstr>=ME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>Templates for new LGGroup papers</vt:lpwstr>
  </property>
  <property fmtid="{D5CDD505-2E9C-101B-9397-08002B2CF9AE}" pid="9" name="DC.date.issued">
    <vt:lpwstr>2010-07-19T00:00:00Z</vt:lpwstr>
  </property>
  <property fmtid="{D5CDD505-2E9C-101B-9397-08002B2CF9AE}" pid="10" name="e-GMS.subject.keyword">
    <vt:lpwstr/>
  </property>
  <property fmtid="{D5CDD505-2E9C-101B-9397-08002B2CF9AE}" pid="11" name="Date">
    <vt:lpwstr>2010-07-19T00:00:00Z</vt:lpwstr>
  </property>
  <property fmtid="{D5CDD505-2E9C-101B-9397-08002B2CF9AE}" pid="12" name="ContentTypeId">
    <vt:lpwstr>0x010100F3A958B6CCA9D141A0BD6E491460B668</vt:lpwstr>
  </property>
  <property fmtid="{D5CDD505-2E9C-101B-9397-08002B2CF9AE}" pid="13" name="TaxKeywordTaxHTField">
    <vt:lpwstr>Subscription 2016-17|02761728-921d-4f79-9eb5-940ca631f404</vt:lpwstr>
  </property>
  <property fmtid="{D5CDD505-2E9C-101B-9397-08002B2CF9AE}" pid="14" name="Document Type">
    <vt:lpwstr>Report</vt:lpwstr>
  </property>
  <property fmtid="{D5CDD505-2E9C-101B-9397-08002B2CF9AE}" pid="15" name="l3ee1b4ecc024e27ad7412a3b97a748a">
    <vt:lpwstr/>
  </property>
  <property fmtid="{D5CDD505-2E9C-101B-9397-08002B2CF9AE}" pid="16" name="TaxCatchAll">
    <vt:lpwstr>1221;#Subscription 2016-17</vt:lpwstr>
  </property>
  <property fmtid="{D5CDD505-2E9C-101B-9397-08002B2CF9AE}" pid="17" name="TaxKeyword">
    <vt:lpwstr>1221;#Subscription 2016-17|02761728-921d-4f79-9eb5-940ca631f404</vt:lpwstr>
  </property>
  <property fmtid="{D5CDD505-2E9C-101B-9397-08002B2CF9AE}" pid="18" name="Subje">
    <vt:lpwstr/>
  </property>
  <property fmtid="{D5CDD505-2E9C-101B-9397-08002B2CF9AE}" pid="19" name="Keyword/Tag">
    <vt:lpwstr/>
  </property>
  <property fmtid="{D5CDD505-2E9C-101B-9397-08002B2CF9AE}" pid="20" name="Meeting date">
    <vt:lpwstr/>
  </property>
  <property fmtid="{D5CDD505-2E9C-101B-9397-08002B2CF9AE}" pid="21" name="Work Area">
    <vt:lpwstr/>
  </property>
</Properties>
</file>